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line="560" w:lineRule="exact"/>
        <w:ind w:firstLine="837" w:firstLineChars="97"/>
        <w:rPr>
          <w:rFonts w:ascii="宋体" w:hAnsi="宋体" w:cs="宋体"/>
          <w:b/>
          <w:color w:val="FF0000"/>
          <w:spacing w:val="60"/>
          <w:kern w:val="0"/>
          <w:sz w:val="74"/>
          <w:szCs w:val="72"/>
        </w:rPr>
      </w:pPr>
      <w:r>
        <w:rPr>
          <w:rFonts w:hint="eastAsia" w:ascii="宋体" w:hAnsi="宋体" w:cs="宋体"/>
          <w:b/>
          <w:color w:val="FF0000"/>
          <w:spacing w:val="60"/>
          <w:kern w:val="0"/>
          <w:sz w:val="74"/>
          <w:szCs w:val="72"/>
        </w:rPr>
        <w:t>北京国家会计学院</w:t>
      </w:r>
    </w:p>
    <w:p>
      <w:pPr>
        <w:keepNext/>
        <w:widowControl/>
        <w:spacing w:before="240" w:after="240" w:line="560" w:lineRule="exact"/>
        <w:ind w:firstLine="1800" w:firstLineChars="600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103505</wp:posOffset>
                </wp:positionV>
                <wp:extent cx="54483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8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5.25pt;margin-top:8.15pt;height:0pt;width:429pt;z-index:251658240;mso-width-relative:page;mso-height-relative:page;" filled="f" stroked="t" coordsize="21600,21600" o:gfxdata="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MTqe7YAAAACQEAAA8AAAAAAAAAAQAgAAAAIgAA&#10;AGRycy9kb3ducmV2LnhtbFBLAQIUABQAAAAIAIdO4kAgpiABzwEAAI4DAAAOAAAAAAAAAAEAIAAA&#10;ACcBAABkcnMvZTJvRG9jLnhtbFBLBQYAAAAABgAGAFkBAABo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关于举办“</w:t>
      </w:r>
      <w:r>
        <w:rPr>
          <w:rFonts w:ascii="宋体" w:hAnsi="宋体" w:cs="宋体"/>
          <w:b/>
          <w:bCs/>
          <w:kern w:val="0"/>
          <w:sz w:val="30"/>
          <w:szCs w:val="30"/>
        </w:rPr>
        <w:t>2017新收入准则解读</w:t>
      </w:r>
      <w:r>
        <w:rPr>
          <w:rFonts w:hint="default" w:ascii="宋体" w:hAnsi="宋体" w:cs="宋体"/>
          <w:b/>
          <w:bCs/>
          <w:kern w:val="0"/>
          <w:sz w:val="30"/>
          <w:szCs w:val="30"/>
          <w:lang w:val="en-US" w:eastAsia="zh-CN"/>
        </w:rPr>
        <w:t>”</w:t>
      </w:r>
    </w:p>
    <w:p>
      <w:pPr>
        <w:widowControl/>
        <w:spacing w:line="500" w:lineRule="exact"/>
        <w:rPr>
          <w:rFonts w:hint="eastAsia"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各有关单位：</w:t>
      </w:r>
    </w:p>
    <w:p>
      <w:pPr>
        <w:widowControl/>
        <w:spacing w:line="500" w:lineRule="exact"/>
        <w:ind w:firstLine="470" w:firstLineChars="196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2017年7月5日，财政部发布了财会【2017】22号文，修订印发《企业会计准则第14号——收入》（以下简称“新收入准则”）。执行新收入准则的企业，将不再执行2006年2月15日发布的《企业会计准则第14号——收入》和《企业会计准则第15号——建造合同》以及相应的应用指南。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新收入准则的发布是我国企业会计准则体系的一次重大变革。收入确认模式和理念发生了很大变化，企业必须基于与客户之间的合同履行确认收入；不再区分销售商品、提供劳务和建造合同等业务模式，而是采用统一的模型确认收入；“控制权转移”将取代施行多年的“风险报酬转移”作为确认收入的依据；企业采用的商业模式将直接影响收入的确认……</w:t>
      </w:r>
    </w:p>
    <w:p>
      <w:pPr>
        <w:widowControl/>
        <w:spacing w:line="500" w:lineRule="exact"/>
        <w:ind w:firstLine="480" w:firstLineChars="200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新收入准则的变化将对各个行业、各类企业产生不同程度的影响，对于某些行业的影响可能尤其重大。有关业务的会计处理、收入、利润等重要指标的变化、企业的日常管理和战略决策，例如薪酬计划、投融资安排、资本运作、税务筹划、ERP等等，都需要重新审视并作出相应调整。甚至，为了适应各种改变，企业可能还需要对现有的商业模式和合同条款进行梳理、修改会计流程和内部控制规范、升级IT系统等等。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新收入准则的发布和实施也是对企业管理人员和会计人员、中介机构人员甚至教学科研人员专业知识和业务能力的一大挑战。我院根据新收入准则的特征，组织权威专家精心设计了本次高级研修班，帮助相关人员尽快理解新收入准则的精髓，掌握会计核算、财务管理、企业运营、税务筹划、内控系统等方面必备技能，为新收入准则的实施做好充分准备，进一步提高我国会计从业人员执行准则的水平、服务企业战略的能力和开展相关工作的本领。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一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、培训收益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 帮助企业深刻理解新准则发布实施对行业和企业产生的重大影响；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 帮助企业了解新准则的制定背景和主要变化；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3. 帮助企业掌握新准则执行过程中的重点、难点问题；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4. 帮助企业提升内部管理水平和准则执行力。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二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、培训对象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 执行企业会计准则的各类企业的中高层管理人员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 执行企业会计准则的各类企业的会计人员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3. 会计师事务所等各类中介机构的执业人员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4. 上市公司和各类评级机构的证券分析人员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5. 高校研究机构的教学科研人员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三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、培训内容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b/>
          <w:kern w:val="0"/>
          <w:sz w:val="24"/>
          <w:szCs w:val="24"/>
        </w:rPr>
        <w:t>（一）新收入准则修订的背景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b/>
          <w:kern w:val="0"/>
          <w:sz w:val="24"/>
          <w:szCs w:val="24"/>
        </w:rPr>
        <w:t>（二）新收入准则相关的会计处理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1.收入的确认和计量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（1）识别客户合同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（2）识别合同中包含的各单项履约义务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（3）交易价格的确定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（4）交易价格的分摊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（5）根据各单项履约义务的履行确认收入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2.某些特定事项或交易的会计处理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（1）质保金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（2）主要责任人和代理人的区分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（3）附有销售退回条款的销售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（4）额外购买选择权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（5）知识产权许可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（6）回购安排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（7）客户未行使权利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（8）无需退回的初始费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3.列报和披露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（1）收入相关会计政策、对收入确认时点和金额有重大影响的判断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（2）与客户合同相关的信息（本期收入确认、合同余额、履约义务等）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（3）与合同成本有关的资产信息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4.新旧收入准则操作的衔接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b/>
          <w:kern w:val="0"/>
          <w:sz w:val="24"/>
          <w:szCs w:val="24"/>
        </w:rPr>
        <w:t>（三）新收入准则实施后管理决策的制定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 薪酬计划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 商业模式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3. 合同条款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4. 投融资安排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5. ERP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b/>
          <w:kern w:val="0"/>
          <w:sz w:val="24"/>
          <w:szCs w:val="24"/>
        </w:rPr>
        <w:t>（四）新收入准则实施后的纳税筹划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cs="宋体" w:asciiTheme="minorEastAsia" w:hAnsiTheme="minorEastAsia"/>
          <w:b/>
          <w:kern w:val="0"/>
          <w:sz w:val="24"/>
          <w:szCs w:val="24"/>
        </w:rPr>
        <w:t>（五）新收入准则实施后信息系统、内控系统的调整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四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、专家阵容（部分师资）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·北京国家会计学院专门从事会计准则研究的专家团队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·财政部会计司、、会计准则委员会制定会计准则的专家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·长期从事于会计准则实务的企业、会计师事务所专家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五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、时间与地点  </w:t>
      </w:r>
    </w:p>
    <w:tbl>
      <w:tblPr>
        <w:tblStyle w:val="11"/>
        <w:tblW w:w="8363" w:type="dxa"/>
        <w:tblInd w:w="43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2"/>
        <w:gridCol w:w="2197"/>
        <w:gridCol w:w="2199"/>
        <w:gridCol w:w="22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1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602" w:firstLineChars="250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1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602" w:firstLineChars="250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  <w:t>报到时间</w:t>
            </w:r>
          </w:p>
        </w:tc>
        <w:tc>
          <w:tcPr>
            <w:tcW w:w="21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602" w:firstLineChars="250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  <w:t>培训时间</w:t>
            </w:r>
          </w:p>
        </w:tc>
        <w:tc>
          <w:tcPr>
            <w:tcW w:w="22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602" w:firstLineChars="250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培训地点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1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480" w:firstLineChars="2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总第1期</w:t>
            </w:r>
          </w:p>
        </w:tc>
        <w:tc>
          <w:tcPr>
            <w:tcW w:w="21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10月26日全天</w:t>
            </w:r>
          </w:p>
        </w:tc>
        <w:tc>
          <w:tcPr>
            <w:tcW w:w="21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10月27—28日</w:t>
            </w:r>
          </w:p>
        </w:tc>
        <w:tc>
          <w:tcPr>
            <w:tcW w:w="22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120" w:firstLineChars="5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北京国家会计学院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 w:hRule="atLeast"/>
        </w:trPr>
        <w:tc>
          <w:tcPr>
            <w:tcW w:w="1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480" w:firstLineChars="2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总第2期</w:t>
            </w:r>
          </w:p>
        </w:tc>
        <w:tc>
          <w:tcPr>
            <w:tcW w:w="21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11月19日全天</w:t>
            </w:r>
          </w:p>
        </w:tc>
        <w:tc>
          <w:tcPr>
            <w:tcW w:w="21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11月20—21日</w:t>
            </w:r>
          </w:p>
        </w:tc>
        <w:tc>
          <w:tcPr>
            <w:tcW w:w="22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120" w:firstLineChars="5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北京国家会计学院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</w:trPr>
        <w:tc>
          <w:tcPr>
            <w:tcW w:w="1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480" w:firstLineChars="2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总第3期</w:t>
            </w:r>
          </w:p>
        </w:tc>
        <w:tc>
          <w:tcPr>
            <w:tcW w:w="219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12月17日全天</w:t>
            </w:r>
          </w:p>
        </w:tc>
        <w:tc>
          <w:tcPr>
            <w:tcW w:w="21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240" w:firstLineChars="10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12月18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19日</w:t>
            </w:r>
          </w:p>
        </w:tc>
        <w:tc>
          <w:tcPr>
            <w:tcW w:w="22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500" w:lineRule="exact"/>
              <w:ind w:firstLine="120" w:firstLineChars="50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北京国家会计学院</w:t>
            </w:r>
          </w:p>
        </w:tc>
      </w:tr>
    </w:tbl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六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、结业、考核</w:t>
      </w:r>
    </w:p>
    <w:p>
      <w:pPr>
        <w:widowControl/>
        <w:spacing w:line="500" w:lineRule="exact"/>
        <w:ind w:firstLine="480" w:firstLineChars="200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完成全部课程学习，获得由北京国家会计学院颁发的结业证书。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  </w:t>
      </w:r>
    </w:p>
    <w:p>
      <w:pPr>
        <w:widowControl/>
        <w:spacing w:line="50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七</w:t>
      </w:r>
      <w:r>
        <w:rPr>
          <w:rFonts w:cs="宋体" w:asciiTheme="minorEastAsia" w:hAnsiTheme="minorEastAsia"/>
          <w:b/>
          <w:kern w:val="0"/>
          <w:sz w:val="24"/>
          <w:szCs w:val="24"/>
        </w:rPr>
        <w:t>、收费标准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及缴费方式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1.培训费：人民币3000元/人，费用均不含食宿。发票抬头为培训费。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2.在北京国家会计学院举办的培训可提供食宿。就餐为自助餐，收费标准为120元/人天；住宿标准：普通单人间220元/天，商务间400元/天，新商务间600元/天。（住宿费用含游泳、健身、净娱乐、宽带上网等费用）。</w:t>
      </w:r>
    </w:p>
    <w:p>
      <w:pPr>
        <w:widowControl/>
        <w:spacing w:line="50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3.</w:t>
      </w:r>
      <w:r>
        <w:rPr>
          <w:rFonts w:cs="宋体" w:asciiTheme="minorEastAsia" w:hAnsiTheme="minorEastAsia"/>
          <w:kern w:val="0"/>
          <w:sz w:val="24"/>
          <w:szCs w:val="24"/>
        </w:rPr>
        <w:t>报到时直接缴纳现金或者现场刷银行卡、信用卡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00" w:lineRule="exact"/>
        <w:ind w:firstLine="5592" w:firstLineChars="2330"/>
        <w:rPr>
          <w:rFonts w:hint="eastAsia" w:cs="宋体" w:asciiTheme="minorEastAsia" w:hAnsiTheme="minorEastAsia"/>
          <w:kern w:val="0"/>
          <w:sz w:val="24"/>
          <w:szCs w:val="24"/>
        </w:rPr>
      </w:pPr>
    </w:p>
    <w:p>
      <w:pPr>
        <w:widowControl/>
        <w:shd w:val="clear" w:color="auto" w:fill="FFFFFF"/>
        <w:spacing w:line="500" w:lineRule="exact"/>
        <w:ind w:firstLine="5592" w:firstLineChars="2330"/>
        <w:rPr>
          <w:rFonts w:hint="eastAsia" w:cs="宋体" w:asciiTheme="minorEastAsia" w:hAnsiTheme="minorEastAsia"/>
          <w:kern w:val="0"/>
          <w:sz w:val="24"/>
          <w:szCs w:val="24"/>
        </w:rPr>
      </w:pPr>
    </w:p>
    <w:p>
      <w:pPr>
        <w:widowControl/>
        <w:shd w:val="clear" w:color="auto" w:fill="FFFFFF"/>
        <w:spacing w:line="500" w:lineRule="exact"/>
        <w:ind w:firstLine="5614" w:firstLineChars="2330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北京国家会计学院教务部</w:t>
      </w:r>
    </w:p>
    <w:p>
      <w:pPr>
        <w:widowControl/>
        <w:shd w:val="clear" w:color="auto" w:fill="FFFFFF"/>
        <w:spacing w:line="500" w:lineRule="exact"/>
        <w:ind w:firstLine="6440" w:firstLineChars="2673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/>
          <w:b/>
          <w:color w:val="000000"/>
          <w:sz w:val="24"/>
          <w:szCs w:val="24"/>
        </w:rPr>
        <w:t>201</w:t>
      </w:r>
      <w:r>
        <w:rPr>
          <w:rFonts w:hint="eastAsia" w:ascii="宋体" w:hAnsi="宋体" w:cs="宋体"/>
          <w:b/>
          <w:color w:val="000000"/>
          <w:sz w:val="24"/>
          <w:szCs w:val="24"/>
        </w:rPr>
        <w:t>7年9月</w:t>
      </w:r>
    </w:p>
    <w:p>
      <w:pPr>
        <w:spacing w:line="440" w:lineRule="exact"/>
        <w:jc w:val="center"/>
        <w:rPr>
          <w:rFonts w:ascii="宋体" w:hAnsi="宋体" w:cs="宋体"/>
          <w:b/>
          <w:color w:val="000000"/>
          <w:sz w:val="32"/>
          <w:szCs w:val="32"/>
        </w:rPr>
      </w:pPr>
    </w:p>
    <w:p>
      <w:pPr>
        <w:spacing w:line="440" w:lineRule="exact"/>
        <w:jc w:val="center"/>
        <w:rPr>
          <w:rFonts w:hint="eastAsia" w:ascii="宋体" w:hAnsi="宋体" w:cs="宋体"/>
          <w:b/>
          <w:color w:val="000000"/>
          <w:sz w:val="32"/>
          <w:szCs w:val="32"/>
        </w:rPr>
      </w:pPr>
    </w:p>
    <w:p>
      <w:pPr>
        <w:spacing w:line="44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报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名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回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执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表（可自制）</w:t>
      </w:r>
    </w:p>
    <w:tbl>
      <w:tblPr>
        <w:tblStyle w:val="11"/>
        <w:tblW w:w="9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456"/>
        <w:gridCol w:w="879"/>
        <w:gridCol w:w="1117"/>
        <w:gridCol w:w="1338"/>
        <w:gridCol w:w="1558"/>
        <w:gridCol w:w="1846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学员姓名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话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电子信箱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560" w:firstLineChars="20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97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报名程序：</w:t>
            </w:r>
          </w:p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instrText xml:space="preserve"> HYPERLINK "mailto:请将报名回执表填写完整后发送至3393096236@qq.com" </w:instrTex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fldChar w:fldCharType="separate"/>
            </w:r>
            <w:r>
              <w:rPr>
                <w:rStyle w:val="10"/>
                <w:rFonts w:hint="eastAsia" w:ascii="宋体" w:hAnsi="宋体" w:cs="宋体"/>
                <w:sz w:val="24"/>
                <w:szCs w:val="24"/>
              </w:rPr>
              <w:t>请将报名回执表填写完整后发送至</w:t>
            </w:r>
            <w:r>
              <w:rPr>
                <w:rStyle w:val="10"/>
                <w:rFonts w:hint="eastAsia" w:ascii="宋体" w:hAnsi="宋体" w:cs="宋体"/>
                <w:sz w:val="24"/>
                <w:szCs w:val="24"/>
                <w:lang w:val="en-US" w:eastAsia="zh-CN"/>
              </w:rPr>
              <w:t>3393096236@qq.com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联系人：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赵诗雅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          手机：18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182715547   微信：z18182715547</w:t>
            </w:r>
          </w:p>
          <w:p>
            <w:pPr>
              <w:spacing w:line="320" w:lineRule="exact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备注：学院谢绝学员携带家属和小孩，谢谢！</w:t>
            </w:r>
          </w:p>
        </w:tc>
      </w:tr>
    </w:tbl>
    <w:p>
      <w:pPr>
        <w:widowControl/>
        <w:spacing w:line="360" w:lineRule="exact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48"/>
    <w:rsid w:val="0000032A"/>
    <w:rsid w:val="00012394"/>
    <w:rsid w:val="000207DF"/>
    <w:rsid w:val="00035F00"/>
    <w:rsid w:val="00042839"/>
    <w:rsid w:val="00050FD8"/>
    <w:rsid w:val="00062D97"/>
    <w:rsid w:val="00063F57"/>
    <w:rsid w:val="00074A04"/>
    <w:rsid w:val="000833B6"/>
    <w:rsid w:val="0008675C"/>
    <w:rsid w:val="000A1056"/>
    <w:rsid w:val="000C2D16"/>
    <w:rsid w:val="000C5C42"/>
    <w:rsid w:val="000D4076"/>
    <w:rsid w:val="000E0D69"/>
    <w:rsid w:val="000F6A91"/>
    <w:rsid w:val="000F6D38"/>
    <w:rsid w:val="001024B7"/>
    <w:rsid w:val="001037C0"/>
    <w:rsid w:val="001039C4"/>
    <w:rsid w:val="0010787A"/>
    <w:rsid w:val="00113892"/>
    <w:rsid w:val="00124AE1"/>
    <w:rsid w:val="001369FA"/>
    <w:rsid w:val="001660CE"/>
    <w:rsid w:val="00167185"/>
    <w:rsid w:val="001706E5"/>
    <w:rsid w:val="001772D0"/>
    <w:rsid w:val="00191555"/>
    <w:rsid w:val="001A540F"/>
    <w:rsid w:val="001B1E71"/>
    <w:rsid w:val="001C46B6"/>
    <w:rsid w:val="001D1162"/>
    <w:rsid w:val="001D36CB"/>
    <w:rsid w:val="001D4B23"/>
    <w:rsid w:val="001D76EB"/>
    <w:rsid w:val="001E4C65"/>
    <w:rsid w:val="001E7C08"/>
    <w:rsid w:val="001F2F62"/>
    <w:rsid w:val="00201DE8"/>
    <w:rsid w:val="00210382"/>
    <w:rsid w:val="00212537"/>
    <w:rsid w:val="00230121"/>
    <w:rsid w:val="002371FA"/>
    <w:rsid w:val="00240C6A"/>
    <w:rsid w:val="002550FB"/>
    <w:rsid w:val="00270A71"/>
    <w:rsid w:val="0028009C"/>
    <w:rsid w:val="00287B7A"/>
    <w:rsid w:val="00290B76"/>
    <w:rsid w:val="00293422"/>
    <w:rsid w:val="00293DD6"/>
    <w:rsid w:val="00296454"/>
    <w:rsid w:val="00296565"/>
    <w:rsid w:val="0029717B"/>
    <w:rsid w:val="002A46F3"/>
    <w:rsid w:val="002A7624"/>
    <w:rsid w:val="002C5882"/>
    <w:rsid w:val="002D4DC8"/>
    <w:rsid w:val="002E3F9A"/>
    <w:rsid w:val="002F6045"/>
    <w:rsid w:val="00326783"/>
    <w:rsid w:val="00330A78"/>
    <w:rsid w:val="00334D0D"/>
    <w:rsid w:val="00341F6F"/>
    <w:rsid w:val="00343EF9"/>
    <w:rsid w:val="00360606"/>
    <w:rsid w:val="00370926"/>
    <w:rsid w:val="00371F04"/>
    <w:rsid w:val="003841B4"/>
    <w:rsid w:val="00384872"/>
    <w:rsid w:val="00385C71"/>
    <w:rsid w:val="003A7A6A"/>
    <w:rsid w:val="003A7DF2"/>
    <w:rsid w:val="003F448D"/>
    <w:rsid w:val="0040058E"/>
    <w:rsid w:val="0041678E"/>
    <w:rsid w:val="00416984"/>
    <w:rsid w:val="0042758D"/>
    <w:rsid w:val="00427B37"/>
    <w:rsid w:val="004325D9"/>
    <w:rsid w:val="00440E36"/>
    <w:rsid w:val="0044144B"/>
    <w:rsid w:val="00442958"/>
    <w:rsid w:val="00455693"/>
    <w:rsid w:val="00461860"/>
    <w:rsid w:val="004639B6"/>
    <w:rsid w:val="00466F59"/>
    <w:rsid w:val="00493120"/>
    <w:rsid w:val="00494F03"/>
    <w:rsid w:val="00497387"/>
    <w:rsid w:val="004A4438"/>
    <w:rsid w:val="004B0BEF"/>
    <w:rsid w:val="004B2B38"/>
    <w:rsid w:val="004C202B"/>
    <w:rsid w:val="004E2040"/>
    <w:rsid w:val="004E2873"/>
    <w:rsid w:val="004F26EB"/>
    <w:rsid w:val="005003AD"/>
    <w:rsid w:val="00507AAD"/>
    <w:rsid w:val="00522101"/>
    <w:rsid w:val="00544661"/>
    <w:rsid w:val="00550562"/>
    <w:rsid w:val="00552510"/>
    <w:rsid w:val="0055430E"/>
    <w:rsid w:val="00561983"/>
    <w:rsid w:val="00581A24"/>
    <w:rsid w:val="00582EA7"/>
    <w:rsid w:val="00594733"/>
    <w:rsid w:val="00596D4A"/>
    <w:rsid w:val="005A6E23"/>
    <w:rsid w:val="005B2B22"/>
    <w:rsid w:val="005D176B"/>
    <w:rsid w:val="005D4C88"/>
    <w:rsid w:val="005D7037"/>
    <w:rsid w:val="005E3EA3"/>
    <w:rsid w:val="005E65B2"/>
    <w:rsid w:val="005F2982"/>
    <w:rsid w:val="0060206B"/>
    <w:rsid w:val="0061536A"/>
    <w:rsid w:val="00615CC8"/>
    <w:rsid w:val="00617869"/>
    <w:rsid w:val="00631BA2"/>
    <w:rsid w:val="00634EF7"/>
    <w:rsid w:val="00636B6E"/>
    <w:rsid w:val="00641554"/>
    <w:rsid w:val="006455DC"/>
    <w:rsid w:val="00651EE8"/>
    <w:rsid w:val="00653E4B"/>
    <w:rsid w:val="0065659E"/>
    <w:rsid w:val="00660995"/>
    <w:rsid w:val="00674F5E"/>
    <w:rsid w:val="006754E1"/>
    <w:rsid w:val="00676788"/>
    <w:rsid w:val="006831AF"/>
    <w:rsid w:val="006914EA"/>
    <w:rsid w:val="006951BD"/>
    <w:rsid w:val="006957AA"/>
    <w:rsid w:val="006A4D0C"/>
    <w:rsid w:val="006A66E6"/>
    <w:rsid w:val="006B0FD1"/>
    <w:rsid w:val="006E194C"/>
    <w:rsid w:val="006F0E88"/>
    <w:rsid w:val="006F4157"/>
    <w:rsid w:val="007000C4"/>
    <w:rsid w:val="00704155"/>
    <w:rsid w:val="00711C65"/>
    <w:rsid w:val="007162F1"/>
    <w:rsid w:val="00717A54"/>
    <w:rsid w:val="00723618"/>
    <w:rsid w:val="00723F16"/>
    <w:rsid w:val="00734402"/>
    <w:rsid w:val="007347A5"/>
    <w:rsid w:val="0074441A"/>
    <w:rsid w:val="00747B91"/>
    <w:rsid w:val="00751CC1"/>
    <w:rsid w:val="00757AFD"/>
    <w:rsid w:val="00757F85"/>
    <w:rsid w:val="00761363"/>
    <w:rsid w:val="007616B9"/>
    <w:rsid w:val="0076208A"/>
    <w:rsid w:val="00762E8B"/>
    <w:rsid w:val="0077350D"/>
    <w:rsid w:val="00790C68"/>
    <w:rsid w:val="00793C51"/>
    <w:rsid w:val="00795448"/>
    <w:rsid w:val="00796ED6"/>
    <w:rsid w:val="00796F1D"/>
    <w:rsid w:val="007A2160"/>
    <w:rsid w:val="007B0F0F"/>
    <w:rsid w:val="007C35E1"/>
    <w:rsid w:val="007D4FA6"/>
    <w:rsid w:val="007E05DE"/>
    <w:rsid w:val="007E1CBF"/>
    <w:rsid w:val="007E1F7E"/>
    <w:rsid w:val="007E327D"/>
    <w:rsid w:val="008032A2"/>
    <w:rsid w:val="0081022C"/>
    <w:rsid w:val="008165E5"/>
    <w:rsid w:val="00831709"/>
    <w:rsid w:val="008426C5"/>
    <w:rsid w:val="00845030"/>
    <w:rsid w:val="00855B97"/>
    <w:rsid w:val="00857287"/>
    <w:rsid w:val="00857FA2"/>
    <w:rsid w:val="00860833"/>
    <w:rsid w:val="00860E90"/>
    <w:rsid w:val="00881892"/>
    <w:rsid w:val="00893DA1"/>
    <w:rsid w:val="00895E53"/>
    <w:rsid w:val="008A1A84"/>
    <w:rsid w:val="008C02D5"/>
    <w:rsid w:val="008C3684"/>
    <w:rsid w:val="008D6EE9"/>
    <w:rsid w:val="008E5672"/>
    <w:rsid w:val="008F5130"/>
    <w:rsid w:val="00906E84"/>
    <w:rsid w:val="00912102"/>
    <w:rsid w:val="00924DB7"/>
    <w:rsid w:val="009316B3"/>
    <w:rsid w:val="00943A44"/>
    <w:rsid w:val="00947E3E"/>
    <w:rsid w:val="00956AF3"/>
    <w:rsid w:val="009703E8"/>
    <w:rsid w:val="00970B79"/>
    <w:rsid w:val="009901FD"/>
    <w:rsid w:val="009922A0"/>
    <w:rsid w:val="009942DE"/>
    <w:rsid w:val="00995C86"/>
    <w:rsid w:val="00997C68"/>
    <w:rsid w:val="009A3C87"/>
    <w:rsid w:val="009A3E6E"/>
    <w:rsid w:val="009B0B56"/>
    <w:rsid w:val="009B324B"/>
    <w:rsid w:val="009B56D7"/>
    <w:rsid w:val="009C3C18"/>
    <w:rsid w:val="009C6C6B"/>
    <w:rsid w:val="009D2B01"/>
    <w:rsid w:val="009D4E18"/>
    <w:rsid w:val="009E46E8"/>
    <w:rsid w:val="009E56CA"/>
    <w:rsid w:val="009E6E1B"/>
    <w:rsid w:val="009F4EBC"/>
    <w:rsid w:val="00A136CE"/>
    <w:rsid w:val="00A1525C"/>
    <w:rsid w:val="00A15B92"/>
    <w:rsid w:val="00A16605"/>
    <w:rsid w:val="00A174A2"/>
    <w:rsid w:val="00A272E6"/>
    <w:rsid w:val="00A27614"/>
    <w:rsid w:val="00A61075"/>
    <w:rsid w:val="00A64909"/>
    <w:rsid w:val="00A72658"/>
    <w:rsid w:val="00A94B9B"/>
    <w:rsid w:val="00AB3384"/>
    <w:rsid w:val="00AB5530"/>
    <w:rsid w:val="00AD3038"/>
    <w:rsid w:val="00AF0C27"/>
    <w:rsid w:val="00AF1BE8"/>
    <w:rsid w:val="00AF6327"/>
    <w:rsid w:val="00B03AF8"/>
    <w:rsid w:val="00B05AB6"/>
    <w:rsid w:val="00B063C8"/>
    <w:rsid w:val="00B249A1"/>
    <w:rsid w:val="00B432A3"/>
    <w:rsid w:val="00B441AA"/>
    <w:rsid w:val="00B5532B"/>
    <w:rsid w:val="00B672F2"/>
    <w:rsid w:val="00B74051"/>
    <w:rsid w:val="00B96283"/>
    <w:rsid w:val="00BA1DE0"/>
    <w:rsid w:val="00BA6083"/>
    <w:rsid w:val="00BB0DDD"/>
    <w:rsid w:val="00BD68F6"/>
    <w:rsid w:val="00BE7209"/>
    <w:rsid w:val="00BF3575"/>
    <w:rsid w:val="00C03721"/>
    <w:rsid w:val="00C115F6"/>
    <w:rsid w:val="00C232FF"/>
    <w:rsid w:val="00C30114"/>
    <w:rsid w:val="00C3722D"/>
    <w:rsid w:val="00C441FA"/>
    <w:rsid w:val="00C471A3"/>
    <w:rsid w:val="00C47C0B"/>
    <w:rsid w:val="00CB6864"/>
    <w:rsid w:val="00CC38AB"/>
    <w:rsid w:val="00CC7A9E"/>
    <w:rsid w:val="00CD7754"/>
    <w:rsid w:val="00CE119D"/>
    <w:rsid w:val="00CE2E93"/>
    <w:rsid w:val="00CF542E"/>
    <w:rsid w:val="00D03843"/>
    <w:rsid w:val="00D038B1"/>
    <w:rsid w:val="00D11580"/>
    <w:rsid w:val="00D11801"/>
    <w:rsid w:val="00D3370F"/>
    <w:rsid w:val="00D537C4"/>
    <w:rsid w:val="00D615E9"/>
    <w:rsid w:val="00D6314F"/>
    <w:rsid w:val="00D74514"/>
    <w:rsid w:val="00D8134A"/>
    <w:rsid w:val="00D825FB"/>
    <w:rsid w:val="00D84AF5"/>
    <w:rsid w:val="00D94F24"/>
    <w:rsid w:val="00DA3B71"/>
    <w:rsid w:val="00DB1F87"/>
    <w:rsid w:val="00DC162C"/>
    <w:rsid w:val="00DC20CA"/>
    <w:rsid w:val="00DD2B7D"/>
    <w:rsid w:val="00DD366D"/>
    <w:rsid w:val="00DE06C6"/>
    <w:rsid w:val="00DE4179"/>
    <w:rsid w:val="00DF684D"/>
    <w:rsid w:val="00E03341"/>
    <w:rsid w:val="00E1129A"/>
    <w:rsid w:val="00E149D7"/>
    <w:rsid w:val="00E17ED7"/>
    <w:rsid w:val="00E2212B"/>
    <w:rsid w:val="00E37B9B"/>
    <w:rsid w:val="00E52D55"/>
    <w:rsid w:val="00E76317"/>
    <w:rsid w:val="00E80114"/>
    <w:rsid w:val="00E86FB8"/>
    <w:rsid w:val="00E94488"/>
    <w:rsid w:val="00EB2F5D"/>
    <w:rsid w:val="00EB557C"/>
    <w:rsid w:val="00F061BD"/>
    <w:rsid w:val="00F1288F"/>
    <w:rsid w:val="00F27E98"/>
    <w:rsid w:val="00F3052E"/>
    <w:rsid w:val="00F41431"/>
    <w:rsid w:val="00F41AD6"/>
    <w:rsid w:val="00F4449B"/>
    <w:rsid w:val="00F4522D"/>
    <w:rsid w:val="00F5319B"/>
    <w:rsid w:val="00F9292F"/>
    <w:rsid w:val="00F93E7B"/>
    <w:rsid w:val="00F96D34"/>
    <w:rsid w:val="00FA0114"/>
    <w:rsid w:val="00FB2401"/>
    <w:rsid w:val="00FB3300"/>
    <w:rsid w:val="00FC2C29"/>
    <w:rsid w:val="00FC335D"/>
    <w:rsid w:val="00FE626B"/>
    <w:rsid w:val="020F0432"/>
    <w:rsid w:val="2922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9"/>
    <w:pPr>
      <w:keepNext/>
      <w:widowControl/>
      <w:spacing w:before="240" w:after="240"/>
      <w:jc w:val="left"/>
      <w:outlineLvl w:val="2"/>
    </w:pPr>
    <w:rPr>
      <w:rFonts w:ascii="宋体" w:hAnsi="宋体" w:cs="宋体"/>
      <w:b/>
      <w:bCs/>
      <w:kern w:val="0"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2">
    <w:name w:val="日期 Char"/>
    <w:link w:val="3"/>
    <w:qFormat/>
    <w:uiPriority w:val="0"/>
    <w:rPr>
      <w:kern w:val="2"/>
      <w:sz w:val="21"/>
    </w:rPr>
  </w:style>
  <w:style w:type="paragraph" w:customStyle="1" w:styleId="13">
    <w:name w:val="padding2em"/>
    <w:basedOn w:val="1"/>
    <w:uiPriority w:val="99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批注框文本 Char"/>
    <w:basedOn w:val="8"/>
    <w:link w:val="4"/>
    <w:uiPriority w:val="0"/>
    <w:rPr>
      <w:kern w:val="2"/>
      <w:sz w:val="18"/>
      <w:szCs w:val="18"/>
    </w:rPr>
  </w:style>
  <w:style w:type="character" w:customStyle="1" w:styleId="17">
    <w:name w:val="标题 3 Char"/>
    <w:basedOn w:val="8"/>
    <w:link w:val="2"/>
    <w:qFormat/>
    <w:uiPriority w:val="9"/>
    <w:rPr>
      <w:rFonts w:ascii="宋体" w:hAnsi="宋体" w:cs="宋体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C05FDA-FC97-487A-A528-BCE8184130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xnai</Company>
  <Pages>4</Pages>
  <Words>310</Words>
  <Characters>1772</Characters>
  <Lines>14</Lines>
  <Paragraphs>4</Paragraphs>
  <ScaleCrop>false</ScaleCrop>
  <LinksUpToDate>false</LinksUpToDate>
  <CharactersWithSpaces>2078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2017-05-15T04:07:00Z</dcterms:created>
  <dc:creator>ch</dc:creator>
  <cp:lastModifiedBy>Administrator</cp:lastModifiedBy>
  <cp:lastPrinted>2012-05-11T08:14:00Z</cp:lastPrinted>
  <dcterms:modified xsi:type="dcterms:W3CDTF">2017-09-14T07:32:48Z</dcterms:modified>
  <dc:title>厦门国家会计学院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