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color w:val="000000"/>
          <w:sz w:val="88"/>
          <w:szCs w:val="100"/>
        </w:rPr>
      </w:pPr>
      <w:r>
        <w:rPr>
          <w:rFonts w:hint="eastAsia" w:asciiTheme="minorEastAsia" w:hAnsiTheme="minorEastAsia" w:eastAsiaTheme="minorEastAsia"/>
          <w:b/>
          <w:color w:val="FF0000"/>
          <w:spacing w:val="11"/>
          <w:kern w:val="0"/>
          <w:sz w:val="88"/>
          <w:szCs w:val="100"/>
        </w:rPr>
        <w:t>北京国家会计学</w:t>
      </w:r>
      <w:r>
        <w:rPr>
          <w:rFonts w:hint="eastAsia" w:asciiTheme="minorEastAsia" w:hAnsiTheme="minorEastAsia" w:eastAsiaTheme="minorEastAsia"/>
          <w:b/>
          <w:color w:val="FF0000"/>
          <w:spacing w:val="3"/>
          <w:kern w:val="0"/>
          <w:sz w:val="88"/>
          <w:szCs w:val="100"/>
        </w:rPr>
        <w:t>院</w:t>
      </w:r>
    </w:p>
    <w:p>
      <w:pPr>
        <w:widowControl/>
        <w:spacing w:before="240" w:after="240"/>
        <w:jc w:val="center"/>
        <w:outlineLvl w:val="2"/>
        <w:rPr>
          <w:b/>
          <w:sz w:val="30"/>
          <w:szCs w:val="30"/>
        </w:rPr>
      </w:pPr>
      <w:r>
        <w:rPr>
          <w:b/>
          <w:spacing w:val="50"/>
          <w:sz w:val="30"/>
          <w:szCs w:val="30"/>
        </w:rPr>
        <mc:AlternateContent>
          <mc:Choice Requires="wps">
            <w:drawing>
              <wp:anchor distT="0" distB="0" distL="114300" distR="114300" simplePos="0" relativeHeight="251660288" behindDoc="0" locked="0" layoutInCell="1" allowOverlap="1">
                <wp:simplePos x="0" y="0"/>
                <wp:positionH relativeFrom="column">
                  <wp:posOffset>80010</wp:posOffset>
                </wp:positionH>
                <wp:positionV relativeFrom="paragraph">
                  <wp:posOffset>55245</wp:posOffset>
                </wp:positionV>
                <wp:extent cx="6010275" cy="0"/>
                <wp:effectExtent l="0" t="0" r="0" b="0"/>
                <wp:wrapNone/>
                <wp:docPr id="1" name="Line 2"/>
                <wp:cNvGraphicFramePr/>
                <a:graphic xmlns:a="http://schemas.openxmlformats.org/drawingml/2006/main">
                  <a:graphicData uri="http://schemas.microsoft.com/office/word/2010/wordprocessingShape">
                    <wps:wsp>
                      <wps:cNvCnPr/>
                      <wps:spPr>
                        <a:xfrm>
                          <a:off x="0" y="0"/>
                          <a:ext cx="5286375" cy="0"/>
                        </a:xfrm>
                        <a:prstGeom prst="line">
                          <a:avLst/>
                        </a:prstGeom>
                        <a:ln w="25400" cap="flat" cmpd="sng">
                          <a:solidFill>
                            <a:srgbClr val="FF0000"/>
                          </a:solidFill>
                          <a:prstDash val="solid"/>
                          <a:headEnd type="none" w="med" len="med"/>
                          <a:tailEnd type="none" w="med" len="med"/>
                        </a:ln>
                        <a:effectLst/>
                      </wps:spPr>
                      <wps:bodyPr upright="1"/>
                    </wps:wsp>
                  </a:graphicData>
                </a:graphic>
              </wp:anchor>
            </w:drawing>
          </mc:Choice>
          <mc:Fallback>
            <w:pict>
              <v:line id="Line 2" o:spid="_x0000_s1026" o:spt="20" style="position:absolute;left:0pt;margin-left:6.3pt;margin-top:4.35pt;height:0pt;width:473.25pt;z-index:251660288;mso-width-relative:page;mso-height-relative:page;" filled="f" stroked="t" coordsize="21600,21600" o:gfxdata="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fgLdq0wAAAAYBAAAPAAAAAAAAAAEAIAAAACIAAABkcnMvZG93bnJl&#10;di54bWxQSwECFAAUAAAACACHTuJAaWID6ckBAACaAwAADgAAAAAAAAABACAAAAAiAQAAZHJzL2Uy&#10;b0RvYy54bWxQSwUGAAAAAAYABgBZAQAAXQUAAAAA&#10;">
                <v:fill on="f" focussize="0,0"/>
                <v:stroke weight="2pt" color="#FF0000" joinstyle="round"/>
                <v:imagedata o:title=""/>
                <o:lock v:ext="edit" aspectratio="f"/>
              </v:line>
            </w:pict>
          </mc:Fallback>
        </mc:AlternateContent>
      </w:r>
      <w:r>
        <w:rPr>
          <w:b/>
          <w:sz w:val="30"/>
          <w:szCs w:val="30"/>
        </w:rPr>
        <w:t>企业预算管理体系建设与优化</w:t>
      </w:r>
      <w:r>
        <w:rPr>
          <w:rFonts w:hint="eastAsia"/>
          <w:b/>
          <w:sz w:val="30"/>
          <w:szCs w:val="30"/>
        </w:rPr>
        <w:t>及管理会计</w:t>
      </w:r>
    </w:p>
    <w:p>
      <w:pPr>
        <w:widowControl/>
        <w:spacing w:line="480" w:lineRule="exact"/>
        <w:jc w:val="left"/>
        <w:outlineLvl w:val="2"/>
        <w:rPr>
          <w:rFonts w:ascii="宋体" w:hAnsi="宋体" w:cs="宋体"/>
          <w:b/>
          <w:bCs/>
          <w:kern w:val="0"/>
          <w:sz w:val="24"/>
          <w:szCs w:val="24"/>
        </w:rPr>
      </w:pPr>
      <w:r>
        <w:rPr>
          <w:rFonts w:ascii="宋体" w:hAnsi="宋体" w:cs="宋体"/>
          <w:b/>
          <w:bCs/>
          <w:kern w:val="0"/>
          <w:sz w:val="24"/>
          <w:szCs w:val="24"/>
        </w:rPr>
        <w:t>培训背景</w:t>
      </w:r>
      <w:r>
        <w:rPr>
          <w:rFonts w:hint="eastAsia" w:ascii="宋体" w:hAnsi="宋体" w:cs="宋体"/>
          <w:b/>
          <w:bCs/>
          <w:kern w:val="0"/>
          <w:sz w:val="24"/>
          <w:szCs w:val="24"/>
        </w:rPr>
        <w:t>：</w:t>
      </w:r>
    </w:p>
    <w:p>
      <w:pPr>
        <w:widowControl/>
        <w:spacing w:line="480" w:lineRule="exact"/>
        <w:ind w:firstLine="480" w:firstLineChars="200"/>
        <w:jc w:val="left"/>
        <w:outlineLvl w:val="2"/>
        <w:rPr>
          <w:rFonts w:asciiTheme="minorEastAsia" w:hAnsiTheme="minorEastAsia" w:eastAsiaTheme="minorEastAsia"/>
          <w:sz w:val="24"/>
          <w:szCs w:val="24"/>
        </w:rPr>
      </w:pPr>
      <w:r>
        <w:rPr>
          <w:rFonts w:asciiTheme="minorEastAsia" w:hAnsiTheme="minorEastAsia" w:eastAsiaTheme="minorEastAsia"/>
          <w:sz w:val="24"/>
          <w:szCs w:val="24"/>
        </w:rPr>
        <w:t>预算管理在国内企业已经有将近二十年的历史，是企业财务管理中一个成熟而常规的管理方法，但随着企业内外部环境的逐渐变化，预算管理也出现了一些财务人员困惑且难以应对的问题。</w:t>
      </w:r>
    </w:p>
    <w:p>
      <w:pPr>
        <w:widowControl/>
        <w:spacing w:line="480" w:lineRule="exact"/>
        <w:ind w:firstLine="482" w:firstLineChars="200"/>
        <w:jc w:val="left"/>
        <w:outlineLvl w:val="2"/>
        <w:rPr>
          <w:rFonts w:asciiTheme="minorEastAsia" w:hAnsiTheme="minorEastAsia" w:eastAsiaTheme="minorEastAsia"/>
          <w:sz w:val="24"/>
          <w:szCs w:val="24"/>
        </w:rPr>
      </w:pPr>
      <w:r>
        <w:rPr>
          <w:rFonts w:asciiTheme="minorEastAsia" w:hAnsiTheme="minorEastAsia" w:eastAsiaTheme="minorEastAsia"/>
          <w:b/>
          <w:bCs/>
          <w:sz w:val="24"/>
          <w:szCs w:val="24"/>
        </w:rPr>
        <w:t>1.来自上级的指标要求与业务单元目标次优化之间的矛盾。</w:t>
      </w:r>
      <w:r>
        <w:rPr>
          <w:rFonts w:asciiTheme="minorEastAsia" w:hAnsiTheme="minorEastAsia" w:eastAsiaTheme="minorEastAsia"/>
          <w:sz w:val="24"/>
          <w:szCs w:val="24"/>
        </w:rPr>
        <w:t>在多级化的企业中，一方面指标要求刚性增长，另一方面业务单元有强烈的保守意识，申报目标时的次优化动机严重，财务部门的预算管理职能长期承受这种夹层气，甚至被财务人员视作常态；</w:t>
      </w:r>
    </w:p>
    <w:p>
      <w:pPr>
        <w:widowControl/>
        <w:spacing w:line="480" w:lineRule="exact"/>
        <w:ind w:firstLine="482" w:firstLineChars="200"/>
        <w:jc w:val="left"/>
        <w:outlineLvl w:val="2"/>
        <w:rPr>
          <w:rFonts w:asciiTheme="minorEastAsia" w:hAnsiTheme="minorEastAsia" w:eastAsiaTheme="minorEastAsia"/>
          <w:sz w:val="24"/>
          <w:szCs w:val="24"/>
        </w:rPr>
      </w:pPr>
      <w:r>
        <w:rPr>
          <w:rFonts w:asciiTheme="minorEastAsia" w:hAnsiTheme="minorEastAsia" w:eastAsiaTheme="minorEastAsia"/>
          <w:b/>
          <w:bCs/>
          <w:sz w:val="24"/>
          <w:szCs w:val="24"/>
        </w:rPr>
        <w:t>2.考核指标的高精准度要求和财务部门预算控制手段缺乏之间的矛盾。</w:t>
      </w:r>
      <w:r>
        <w:rPr>
          <w:rFonts w:asciiTheme="minorEastAsia" w:hAnsiTheme="minorEastAsia" w:eastAsiaTheme="minorEastAsia"/>
          <w:sz w:val="24"/>
          <w:szCs w:val="24"/>
        </w:rPr>
        <w:t>自上而下的目标考核精度越来越高而财务对业务部门的预算管理，往往是重编制、轻控制，无法将预算指标的落实与业务部门日常业务的计划管理相衔接，大大削弱了预算管理的力度；</w:t>
      </w:r>
    </w:p>
    <w:p>
      <w:pPr>
        <w:widowControl/>
        <w:spacing w:line="480" w:lineRule="exact"/>
        <w:ind w:firstLine="482" w:firstLineChars="200"/>
        <w:jc w:val="left"/>
        <w:outlineLvl w:val="2"/>
        <w:rPr>
          <w:rFonts w:asciiTheme="minorEastAsia" w:hAnsiTheme="minorEastAsia" w:eastAsiaTheme="minorEastAsia"/>
          <w:sz w:val="24"/>
          <w:szCs w:val="24"/>
        </w:rPr>
      </w:pPr>
      <w:r>
        <w:rPr>
          <w:rFonts w:asciiTheme="minorEastAsia" w:hAnsiTheme="minorEastAsia" w:eastAsiaTheme="minorEastAsia"/>
          <w:b/>
          <w:bCs/>
          <w:sz w:val="24"/>
          <w:szCs w:val="24"/>
        </w:rPr>
        <w:t>3.强化预算指标控制而弱化核算规范管理之间的矛盾。</w:t>
      </w:r>
      <w:r>
        <w:rPr>
          <w:rFonts w:asciiTheme="minorEastAsia" w:hAnsiTheme="minorEastAsia" w:eastAsiaTheme="minorEastAsia"/>
          <w:sz w:val="24"/>
          <w:szCs w:val="24"/>
        </w:rPr>
        <w:t>在不少集团型企业，一方面预算考核不断强化，而另一方面，大量的会计核算过度依赖中基层会计人员的专业判断，强化预算和弱化核算导致下属企业财务人员甚至不得不通过会计造假来实现预算目标，在财务部门累积了大量的风险。</w:t>
      </w:r>
    </w:p>
    <w:p>
      <w:pPr>
        <w:widowControl/>
        <w:spacing w:line="480" w:lineRule="exact"/>
        <w:ind w:firstLine="480" w:firstLineChars="200"/>
        <w:jc w:val="left"/>
        <w:outlineLvl w:val="2"/>
        <w:rPr>
          <w:rFonts w:asciiTheme="minorEastAsia" w:hAnsiTheme="minorEastAsia" w:eastAsiaTheme="minorEastAsia"/>
          <w:sz w:val="24"/>
          <w:szCs w:val="24"/>
        </w:rPr>
      </w:pPr>
      <w:r>
        <w:rPr>
          <w:rFonts w:asciiTheme="minorEastAsia" w:hAnsiTheme="minorEastAsia" w:eastAsiaTheme="minorEastAsia"/>
          <w:sz w:val="24"/>
          <w:szCs w:val="24"/>
        </w:rPr>
        <w:t>本课程的培训，以预算管理的全背景、全周期为视角，既会</w:t>
      </w:r>
      <w:r>
        <w:rPr>
          <w:rFonts w:asciiTheme="minorEastAsia" w:hAnsiTheme="minorEastAsia" w:eastAsiaTheme="minorEastAsia"/>
          <w:bCs/>
          <w:sz w:val="24"/>
          <w:szCs w:val="24"/>
        </w:rPr>
        <w:t>全面梳理预算编制、预算目标确定、预算分解、预算执行分析、预算调整、预算考核</w:t>
      </w:r>
      <w:r>
        <w:rPr>
          <w:rFonts w:asciiTheme="minorEastAsia" w:hAnsiTheme="minorEastAsia" w:eastAsiaTheme="minorEastAsia"/>
          <w:sz w:val="24"/>
          <w:szCs w:val="24"/>
        </w:rPr>
        <w:t>等预算管理体系建立与执行的基本问题，也会针对实施多级化预算管理的企业，</w:t>
      </w:r>
      <w:r>
        <w:rPr>
          <w:rFonts w:asciiTheme="minorEastAsia" w:hAnsiTheme="minorEastAsia" w:eastAsiaTheme="minorEastAsia"/>
          <w:bCs/>
          <w:sz w:val="24"/>
          <w:szCs w:val="24"/>
        </w:rPr>
        <w:t>重点解决多级化企业的预算指标分解问题、企业预算管理中预算管理与计划管理的结合问题、业务与财务的衔接问题、会计核算与预算指标考核问题、如何将预算执行情况分析转化为控制手段的问题、预算调整如何控制</w:t>
      </w:r>
      <w:r>
        <w:rPr>
          <w:rFonts w:asciiTheme="minorEastAsia" w:hAnsiTheme="minorEastAsia" w:eastAsiaTheme="minorEastAsia"/>
          <w:sz w:val="24"/>
          <w:szCs w:val="24"/>
        </w:rPr>
        <w:t>问题等等。</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一</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培训</w:t>
      </w:r>
      <w:r>
        <w:rPr>
          <w:rFonts w:asciiTheme="minorEastAsia" w:hAnsiTheme="minorEastAsia" w:eastAsiaTheme="minorEastAsia"/>
          <w:b/>
          <w:sz w:val="24"/>
          <w:szCs w:val="24"/>
        </w:rPr>
        <w:t>收益</w:t>
      </w:r>
    </w:p>
    <w:p>
      <w:pPr>
        <w:widowControl/>
        <w:spacing w:line="480" w:lineRule="exact"/>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1、系统梳理以战略管理为导向、与计划管理相结合，融合业务管理与财务管控的企业预算管理体系的构建与实施；</w:t>
      </w:r>
    </w:p>
    <w:p>
      <w:pPr>
        <w:widowControl/>
        <w:spacing w:line="480" w:lineRule="exact"/>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2、系统总结企业预算管理中的关键节点，明确在预算管理过程中，财务部门、业务单元、职能部门的职责定位；</w:t>
      </w:r>
    </w:p>
    <w:p>
      <w:pPr>
        <w:widowControl/>
        <w:spacing w:line="480" w:lineRule="exact"/>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重点讲解和研讨预算总目标的确定、预算目标在多级化企业的分解机制及其实施、预算管理与计划管理相结合的方法及其实现、不同行业企业预算编制的不同思路与方法、将预算执行情况分析转变为预算控制手段的路径、预算调整的控制、预算考核的实施及其对预算指标申报的影响等当前国内企业预算管理中迫切需要解决的问题。</w:t>
      </w:r>
    </w:p>
    <w:p>
      <w:pPr>
        <w:widowControl/>
        <w:spacing w:line="480" w:lineRule="exact"/>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4、我们的授课专家将以十五年企业预算管理咨询、研究、方案设计与实施的丰富实操案例，贯穿于这个教学过程，最大的亮点是几乎所有的结论，都是基于实操案例讲解而得出。</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二</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目标学员</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1、已经实施或准备实施企业预算管理的企业财务骨干人员、财务经理、总会计师；</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2、已经实施或准备实施企业预算管理的企业中层以上管理人员、职能部门、业务单元预算管理员；</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3、高校、科研院所从事财务管理、管理会计、预算管理教学的教师；</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4、其他致力于掌握和研究企业预算管理的相关人士。</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三</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课程安排</w:t>
      </w:r>
    </w:p>
    <w:p>
      <w:pPr>
        <w:widowControl/>
        <w:spacing w:line="480" w:lineRule="exact"/>
        <w:ind w:firstLine="472" w:firstLineChars="196"/>
        <w:jc w:val="left"/>
        <w:outlineLvl w:val="2"/>
        <w:rPr>
          <w:rFonts w:asciiTheme="minorEastAsia" w:hAnsiTheme="minorEastAsia" w:eastAsiaTheme="minorEastAsia"/>
          <w:b/>
          <w:sz w:val="24"/>
          <w:szCs w:val="24"/>
        </w:rPr>
      </w:pPr>
      <w:r>
        <w:rPr>
          <w:rFonts w:asciiTheme="minorEastAsia" w:hAnsiTheme="minorEastAsia" w:eastAsiaTheme="minorEastAsia"/>
          <w:b/>
          <w:sz w:val="24"/>
          <w:szCs w:val="24"/>
        </w:rPr>
        <w:t>（一）</w:t>
      </w:r>
      <w:r>
        <w:rPr>
          <w:b/>
          <w:bCs/>
          <w:sz w:val="24"/>
          <w:szCs w:val="24"/>
        </w:rPr>
        <w:t>企业管理会计实务体系的构建与运行</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1.中国管理会计改革与发展的制度背景</w:t>
      </w:r>
    </w:p>
    <w:p>
      <w:pPr>
        <w:pStyle w:val="14"/>
        <w:widowControl/>
        <w:numPr>
          <w:ilvl w:val="0"/>
          <w:numId w:val="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中国改革开放以来会计改革与发展的三个里程碑</w:t>
      </w:r>
    </w:p>
    <w:p>
      <w:pPr>
        <w:pStyle w:val="14"/>
        <w:widowControl/>
        <w:numPr>
          <w:ilvl w:val="0"/>
          <w:numId w:val="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管理会计作为未来十年中国会计改革与发展核心的战略意义</w:t>
      </w:r>
    </w:p>
    <w:p>
      <w:pPr>
        <w:pStyle w:val="14"/>
        <w:widowControl/>
        <w:numPr>
          <w:ilvl w:val="0"/>
          <w:numId w:val="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管理会计与国家治理、市场治理和社会治理的关系</w:t>
      </w:r>
    </w:p>
    <w:p>
      <w:pPr>
        <w:pStyle w:val="14"/>
        <w:widowControl/>
        <w:numPr>
          <w:ilvl w:val="0"/>
          <w:numId w:val="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管理会计与企业管理升级与核心能力建设的关系</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2. 财政部《关于全面推进管理会计体系建设的指导意见》的深度解读</w:t>
      </w:r>
    </w:p>
    <w:p>
      <w:pPr>
        <w:pStyle w:val="14"/>
        <w:widowControl/>
        <w:numPr>
          <w:ilvl w:val="0"/>
          <w:numId w:val="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《指导意见》的出台背景和基本内容</w:t>
      </w:r>
    </w:p>
    <w:p>
      <w:pPr>
        <w:pStyle w:val="14"/>
        <w:widowControl/>
        <w:numPr>
          <w:ilvl w:val="0"/>
          <w:numId w:val="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《指导意见》提出的“4+1”建设模式的深入解读</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3. 国际管理会计发展的经验与启示</w:t>
      </w:r>
    </w:p>
    <w:p>
      <w:pPr>
        <w:pStyle w:val="14"/>
        <w:widowControl/>
        <w:numPr>
          <w:ilvl w:val="0"/>
          <w:numId w:val="3"/>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国外管理会计的发展——企业实践、学术界和行业组织的贡献</w:t>
      </w:r>
    </w:p>
    <w:p>
      <w:pPr>
        <w:pStyle w:val="14"/>
        <w:widowControl/>
        <w:numPr>
          <w:ilvl w:val="0"/>
          <w:numId w:val="3"/>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国外管理会计发展经验的启示</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4. 基于企业管理实务的管理会计概念框架</w:t>
      </w:r>
    </w:p>
    <w:p>
      <w:pPr>
        <w:pStyle w:val="14"/>
        <w:widowControl/>
        <w:numPr>
          <w:ilvl w:val="0"/>
          <w:numId w:val="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管理会计的概念、目标和术语体系</w:t>
      </w:r>
    </w:p>
    <w:p>
      <w:pPr>
        <w:pStyle w:val="14"/>
        <w:widowControl/>
        <w:numPr>
          <w:ilvl w:val="0"/>
          <w:numId w:val="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管理会计的原则与信息质量特征</w:t>
      </w:r>
    </w:p>
    <w:p>
      <w:pPr>
        <w:pStyle w:val="14"/>
        <w:widowControl/>
        <w:numPr>
          <w:ilvl w:val="0"/>
          <w:numId w:val="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管理会计的功能要素体系</w:t>
      </w:r>
    </w:p>
    <w:p>
      <w:pPr>
        <w:pStyle w:val="14"/>
        <w:widowControl/>
        <w:numPr>
          <w:ilvl w:val="0"/>
          <w:numId w:val="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管理会计的工具与方法体系</w:t>
      </w:r>
    </w:p>
    <w:p>
      <w:pPr>
        <w:pStyle w:val="14"/>
        <w:widowControl/>
        <w:numPr>
          <w:ilvl w:val="0"/>
          <w:numId w:val="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管理会计的报告体系</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5. 企业管理会计实务体系的构建</w:t>
      </w:r>
    </w:p>
    <w:p>
      <w:pPr>
        <w:pStyle w:val="14"/>
        <w:widowControl/>
        <w:numPr>
          <w:ilvl w:val="0"/>
          <w:numId w:val="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企业管理会计实务体系的功能</w:t>
      </w:r>
    </w:p>
    <w:p>
      <w:pPr>
        <w:pStyle w:val="14"/>
        <w:widowControl/>
        <w:numPr>
          <w:ilvl w:val="0"/>
          <w:numId w:val="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管理会计实务体系的要素</w:t>
      </w:r>
    </w:p>
    <w:p>
      <w:pPr>
        <w:pStyle w:val="14"/>
        <w:widowControl/>
        <w:numPr>
          <w:ilvl w:val="0"/>
          <w:numId w:val="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预算管理在管理会计实务体系中的特殊作用</w:t>
      </w:r>
    </w:p>
    <w:p>
      <w:pPr>
        <w:pStyle w:val="14"/>
        <w:widowControl/>
        <w:numPr>
          <w:ilvl w:val="0"/>
          <w:numId w:val="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管理会计实务功能与要素的整合框架</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6. 企业管理会计实务体系的运行</w:t>
      </w:r>
    </w:p>
    <w:p>
      <w:pPr>
        <w:pStyle w:val="14"/>
        <w:widowControl/>
        <w:numPr>
          <w:ilvl w:val="0"/>
          <w:numId w:val="6"/>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管理会计实务体系运行的基础</w:t>
      </w:r>
    </w:p>
    <w:p>
      <w:pPr>
        <w:pStyle w:val="14"/>
        <w:widowControl/>
        <w:numPr>
          <w:ilvl w:val="0"/>
          <w:numId w:val="6"/>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管理会计实务体系运行的机制设计</w:t>
      </w:r>
    </w:p>
    <w:p>
      <w:pPr>
        <w:pStyle w:val="14"/>
        <w:widowControl/>
        <w:numPr>
          <w:ilvl w:val="0"/>
          <w:numId w:val="6"/>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企业财务转型的机遇与挑战</w:t>
      </w:r>
    </w:p>
    <w:p>
      <w:pPr>
        <w:widowControl/>
        <w:spacing w:line="480" w:lineRule="exact"/>
        <w:ind w:firstLine="482" w:firstLineChars="200"/>
        <w:jc w:val="left"/>
        <w:rPr>
          <w:rFonts w:asciiTheme="minorEastAsia" w:hAnsiTheme="minorEastAsia" w:eastAsiaTheme="minorEastAsia"/>
          <w:b/>
          <w:sz w:val="24"/>
          <w:szCs w:val="24"/>
        </w:rPr>
      </w:pPr>
      <w:r>
        <w:rPr>
          <w:rFonts w:asciiTheme="minorEastAsia" w:hAnsiTheme="minorEastAsia" w:eastAsiaTheme="minorEastAsia"/>
          <w:b/>
          <w:sz w:val="24"/>
          <w:szCs w:val="24"/>
        </w:rPr>
        <w:t>（二）</w:t>
      </w:r>
      <w:r>
        <w:rPr>
          <w:rFonts w:hint="eastAsia" w:asciiTheme="minorEastAsia" w:hAnsiTheme="minorEastAsia" w:eastAsiaTheme="minorEastAsia"/>
          <w:b/>
          <w:sz w:val="24"/>
          <w:szCs w:val="24"/>
        </w:rPr>
        <w:t>预算管理在企业管理中的定位</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7. 预算管理以战略管理为导向</w:t>
      </w:r>
    </w:p>
    <w:p>
      <w:pPr>
        <w:pStyle w:val="14"/>
        <w:widowControl/>
        <w:numPr>
          <w:ilvl w:val="0"/>
          <w:numId w:val="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企业年度预算目标的确定的汇总式和分解式及其优缺点</w:t>
      </w:r>
    </w:p>
    <w:p>
      <w:pPr>
        <w:pStyle w:val="14"/>
        <w:widowControl/>
        <w:numPr>
          <w:ilvl w:val="0"/>
          <w:numId w:val="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预测是对未来事项的模拟，预算是对未来事项的计划安排</w:t>
      </w:r>
    </w:p>
    <w:p>
      <w:pPr>
        <w:pStyle w:val="14"/>
        <w:widowControl/>
        <w:numPr>
          <w:ilvl w:val="0"/>
          <w:numId w:val="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企业内部预算目标的确定</w:t>
      </w:r>
    </w:p>
    <w:p>
      <w:pPr>
        <w:pStyle w:val="14"/>
        <w:widowControl/>
        <w:numPr>
          <w:ilvl w:val="0"/>
          <w:numId w:val="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年度预算的总体目标体系</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8. 预算管理与计划管理相结合</w:t>
      </w:r>
    </w:p>
    <w:p>
      <w:pPr>
        <w:pStyle w:val="14"/>
        <w:widowControl/>
        <w:numPr>
          <w:ilvl w:val="0"/>
          <w:numId w:val="8"/>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预算目标确定过于激进所导致的预算目标与执行脱节问题</w:t>
      </w:r>
    </w:p>
    <w:p>
      <w:pPr>
        <w:pStyle w:val="14"/>
        <w:widowControl/>
        <w:numPr>
          <w:ilvl w:val="0"/>
          <w:numId w:val="8"/>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预算编制基础缺乏计划导向及其解决路径</w:t>
      </w:r>
    </w:p>
    <w:p>
      <w:pPr>
        <w:pStyle w:val="14"/>
        <w:widowControl/>
        <w:numPr>
          <w:ilvl w:val="0"/>
          <w:numId w:val="8"/>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预算是计划的财务化</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9.预算管理以严格的内部控制为基础</w:t>
      </w:r>
    </w:p>
    <w:p>
      <w:pPr>
        <w:pStyle w:val="14"/>
        <w:widowControl/>
        <w:numPr>
          <w:ilvl w:val="0"/>
          <w:numId w:val="9"/>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预算的编制，需要有规范的制度、流程、定额、标准为基础</w:t>
      </w:r>
    </w:p>
    <w:p>
      <w:pPr>
        <w:pStyle w:val="14"/>
        <w:widowControl/>
        <w:numPr>
          <w:ilvl w:val="0"/>
          <w:numId w:val="9"/>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预算的执行需要以遵守内控的规矩为前提</w:t>
      </w:r>
    </w:p>
    <w:p>
      <w:pPr>
        <w:pStyle w:val="14"/>
        <w:widowControl/>
        <w:numPr>
          <w:ilvl w:val="0"/>
          <w:numId w:val="9"/>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违反内部控制规则的成果不被承认</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10.预算管理以规范的会计核算为前提</w:t>
      </w:r>
    </w:p>
    <w:p>
      <w:pPr>
        <w:pStyle w:val="14"/>
        <w:widowControl/>
        <w:numPr>
          <w:ilvl w:val="0"/>
          <w:numId w:val="10"/>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预算考核压力下核算异化的危害</w:t>
      </w:r>
    </w:p>
    <w:p>
      <w:pPr>
        <w:pStyle w:val="14"/>
        <w:widowControl/>
        <w:numPr>
          <w:ilvl w:val="0"/>
          <w:numId w:val="10"/>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集团化企业的核算管理机制</w:t>
      </w:r>
    </w:p>
    <w:p>
      <w:pPr>
        <w:pStyle w:val="14"/>
        <w:widowControl/>
        <w:numPr>
          <w:ilvl w:val="0"/>
          <w:numId w:val="10"/>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单户企业规范核算的流程控制</w:t>
      </w:r>
    </w:p>
    <w:p>
      <w:pPr>
        <w:widowControl/>
        <w:spacing w:line="480" w:lineRule="exact"/>
        <w:ind w:firstLine="472" w:firstLineChars="196"/>
        <w:jc w:val="left"/>
        <w:rPr>
          <w:rFonts w:asciiTheme="minorEastAsia" w:hAnsiTheme="minorEastAsia" w:eastAsiaTheme="minorEastAsia"/>
          <w:b/>
          <w:sz w:val="24"/>
          <w:szCs w:val="24"/>
        </w:rPr>
      </w:pPr>
      <w:r>
        <w:rPr>
          <w:rFonts w:asciiTheme="minorEastAsia" w:hAnsiTheme="minorEastAsia" w:eastAsiaTheme="minorEastAsia"/>
          <w:b/>
          <w:sz w:val="24"/>
          <w:szCs w:val="24"/>
        </w:rPr>
        <w:t>（三）</w:t>
      </w:r>
      <w:r>
        <w:rPr>
          <w:rFonts w:hint="eastAsia" w:asciiTheme="minorEastAsia" w:hAnsiTheme="minorEastAsia" w:eastAsiaTheme="minorEastAsia"/>
          <w:b/>
          <w:sz w:val="24"/>
          <w:szCs w:val="24"/>
        </w:rPr>
        <w:t>预算管理的组织与制度建设</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11.预算管理的管理机构</w:t>
      </w:r>
    </w:p>
    <w:p>
      <w:pPr>
        <w:pStyle w:val="14"/>
        <w:widowControl/>
        <w:numPr>
          <w:ilvl w:val="0"/>
          <w:numId w:val="1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多级化企业的预算管理机构设置及其职责</w:t>
      </w:r>
    </w:p>
    <w:p>
      <w:pPr>
        <w:pStyle w:val="14"/>
        <w:widowControl/>
        <w:numPr>
          <w:ilvl w:val="0"/>
          <w:numId w:val="1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单户企业的预算管理机构设置及其职责</w:t>
      </w:r>
    </w:p>
    <w:p>
      <w:pPr>
        <w:pStyle w:val="14"/>
        <w:widowControl/>
        <w:numPr>
          <w:ilvl w:val="0"/>
          <w:numId w:val="1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财务部门在预算管理中的定位问题</w:t>
      </w:r>
    </w:p>
    <w:p>
      <w:pPr>
        <w:pStyle w:val="14"/>
        <w:widowControl/>
        <w:numPr>
          <w:ilvl w:val="0"/>
          <w:numId w:val="11"/>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集团化企业本部职能部门与财务部门在预算管理中的职责分工</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12.预算管理的被管理机构</w:t>
      </w:r>
    </w:p>
    <w:p>
      <w:pPr>
        <w:pStyle w:val="14"/>
        <w:widowControl/>
        <w:numPr>
          <w:ilvl w:val="0"/>
          <w:numId w:val="1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成本中心、费用中心定位及其考核</w:t>
      </w:r>
    </w:p>
    <w:p>
      <w:pPr>
        <w:pStyle w:val="14"/>
        <w:widowControl/>
        <w:numPr>
          <w:ilvl w:val="0"/>
          <w:numId w:val="1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收入中心定位及其考核</w:t>
      </w:r>
    </w:p>
    <w:p>
      <w:pPr>
        <w:pStyle w:val="14"/>
        <w:widowControl/>
        <w:numPr>
          <w:ilvl w:val="0"/>
          <w:numId w:val="1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利润中心定位及其考核</w:t>
      </w:r>
    </w:p>
    <w:p>
      <w:pPr>
        <w:pStyle w:val="14"/>
        <w:widowControl/>
        <w:numPr>
          <w:ilvl w:val="0"/>
          <w:numId w:val="1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投资中心定位及其考核</w:t>
      </w:r>
    </w:p>
    <w:p>
      <w:pPr>
        <w:pStyle w:val="14"/>
        <w:widowControl/>
        <w:numPr>
          <w:ilvl w:val="0"/>
          <w:numId w:val="12"/>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内部转移定价基础及其影响因素</w:t>
      </w:r>
    </w:p>
    <w:p>
      <w:pPr>
        <w:widowControl/>
        <w:spacing w:line="480" w:lineRule="exact"/>
        <w:ind w:firstLine="472" w:firstLineChars="196"/>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13.预算管理的制度体系</w:t>
      </w:r>
    </w:p>
    <w:p>
      <w:pPr>
        <w:pStyle w:val="14"/>
        <w:widowControl/>
        <w:numPr>
          <w:ilvl w:val="0"/>
          <w:numId w:val="13"/>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预算管理办法起草中的注意事项</w:t>
      </w:r>
    </w:p>
    <w:p>
      <w:pPr>
        <w:pStyle w:val="14"/>
        <w:widowControl/>
        <w:numPr>
          <w:ilvl w:val="0"/>
          <w:numId w:val="13"/>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年度预算管理实施细则</w:t>
      </w:r>
    </w:p>
    <w:p>
      <w:pPr>
        <w:pStyle w:val="14"/>
        <w:widowControl/>
        <w:numPr>
          <w:ilvl w:val="0"/>
          <w:numId w:val="13"/>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预算管理表格体系及其架构逻辑</w:t>
      </w:r>
    </w:p>
    <w:p>
      <w:pPr>
        <w:widowControl/>
        <w:spacing w:line="480" w:lineRule="exact"/>
        <w:ind w:firstLine="472" w:firstLineChars="196"/>
        <w:jc w:val="left"/>
        <w:rPr>
          <w:rFonts w:asciiTheme="minorEastAsia" w:hAnsiTheme="minorEastAsia" w:eastAsiaTheme="minorEastAsia"/>
          <w:b/>
          <w:sz w:val="24"/>
          <w:szCs w:val="24"/>
        </w:rPr>
      </w:pPr>
      <w:r>
        <w:rPr>
          <w:rFonts w:asciiTheme="minorEastAsia" w:hAnsiTheme="minorEastAsia" w:eastAsiaTheme="minorEastAsia"/>
          <w:b/>
          <w:sz w:val="24"/>
          <w:szCs w:val="24"/>
        </w:rPr>
        <w:t>（四）</w:t>
      </w:r>
      <w:r>
        <w:rPr>
          <w:rFonts w:hint="eastAsia" w:asciiTheme="minorEastAsia" w:hAnsiTheme="minorEastAsia" w:eastAsiaTheme="minorEastAsia"/>
          <w:b/>
          <w:sz w:val="24"/>
          <w:szCs w:val="24"/>
        </w:rPr>
        <w:t>预算的编制、执行控制与分析、预算调整</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14.预算管理内容及其编制思路</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制造业企业业务预算的编制</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施工企业业务预算的编制</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其他行业企业业务预算的编制</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企业投资规模的预算控制机制</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投资项目的项目级概预算与年度预算及其关系处理</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企业现金流量的三级管控与两级预算</w:t>
      </w:r>
    </w:p>
    <w:p>
      <w:pPr>
        <w:pStyle w:val="14"/>
        <w:widowControl/>
        <w:numPr>
          <w:ilvl w:val="0"/>
          <w:numId w:val="14"/>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现金流量平衡与筹资预算</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15.预算编制程序</w:t>
      </w:r>
    </w:p>
    <w:p>
      <w:pPr>
        <w:pStyle w:val="14"/>
        <w:widowControl/>
        <w:numPr>
          <w:ilvl w:val="0"/>
          <w:numId w:val="1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预算编制的程序</w:t>
      </w:r>
    </w:p>
    <w:p>
      <w:pPr>
        <w:pStyle w:val="14"/>
        <w:widowControl/>
        <w:numPr>
          <w:ilvl w:val="0"/>
          <w:numId w:val="1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预算目标的主动申报模型</w:t>
      </w:r>
    </w:p>
    <w:p>
      <w:pPr>
        <w:pStyle w:val="14"/>
        <w:widowControl/>
        <w:numPr>
          <w:ilvl w:val="0"/>
          <w:numId w:val="15"/>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费用预算的分解与编制</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16.预算执行控制与分析</w:t>
      </w:r>
    </w:p>
    <w:p>
      <w:pPr>
        <w:pStyle w:val="14"/>
        <w:widowControl/>
        <w:numPr>
          <w:ilvl w:val="0"/>
          <w:numId w:val="16"/>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按期分解预算的必要性及其实施方法</w:t>
      </w:r>
    </w:p>
    <w:p>
      <w:pPr>
        <w:pStyle w:val="14"/>
        <w:widowControl/>
        <w:numPr>
          <w:ilvl w:val="0"/>
          <w:numId w:val="16"/>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如何把预算执行情况分析转化为预算管控的手段</w:t>
      </w:r>
    </w:p>
    <w:p>
      <w:pPr>
        <w:pStyle w:val="14"/>
        <w:widowControl/>
        <w:numPr>
          <w:ilvl w:val="0"/>
          <w:numId w:val="16"/>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如何将预算目标的控制由结果控制转化为动态监控</w:t>
      </w:r>
    </w:p>
    <w:p>
      <w:pPr>
        <w:widowControl/>
        <w:spacing w:line="480" w:lineRule="exact"/>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17.预算执行调整</w:t>
      </w:r>
    </w:p>
    <w:p>
      <w:pPr>
        <w:pStyle w:val="14"/>
        <w:widowControl/>
        <w:numPr>
          <w:ilvl w:val="0"/>
          <w:numId w:val="1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预算调整是由于预算编制的基础发生了变化而不是由于预算目标无法完成</w:t>
      </w:r>
    </w:p>
    <w:p>
      <w:pPr>
        <w:pStyle w:val="14"/>
        <w:widowControl/>
        <w:numPr>
          <w:ilvl w:val="0"/>
          <w:numId w:val="1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预算调整申请必须是事实导向的</w:t>
      </w:r>
    </w:p>
    <w:p>
      <w:pPr>
        <w:pStyle w:val="14"/>
        <w:widowControl/>
        <w:numPr>
          <w:ilvl w:val="0"/>
          <w:numId w:val="17"/>
        </w:numPr>
        <w:spacing w:line="480" w:lineRule="exact"/>
        <w:ind w:firstLineChars="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预算调整后的考核问题</w:t>
      </w:r>
    </w:p>
    <w:p>
      <w:pPr>
        <w:widowControl/>
        <w:spacing w:line="480" w:lineRule="exact"/>
        <w:ind w:firstLine="482" w:firstLineChars="200"/>
        <w:jc w:val="left"/>
        <w:rPr>
          <w:rFonts w:asciiTheme="minorEastAsia" w:hAnsiTheme="minorEastAsia" w:eastAsiaTheme="minorEastAsia"/>
          <w:sz w:val="24"/>
          <w:szCs w:val="24"/>
        </w:rPr>
      </w:pPr>
      <w:r>
        <w:rPr>
          <w:rFonts w:asciiTheme="minorEastAsia" w:hAnsiTheme="minorEastAsia" w:eastAsiaTheme="minorEastAsia"/>
          <w:b/>
          <w:sz w:val="24"/>
          <w:szCs w:val="24"/>
        </w:rPr>
        <w:t>（五）</w:t>
      </w:r>
      <w:r>
        <w:rPr>
          <w:rFonts w:hint="eastAsia" w:asciiTheme="minorEastAsia" w:hAnsiTheme="minorEastAsia" w:eastAsiaTheme="minorEastAsia"/>
          <w:b/>
          <w:sz w:val="24"/>
          <w:szCs w:val="24"/>
        </w:rPr>
        <w:t>预算考核</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18.预算考核的定位与实施</w:t>
      </w:r>
    </w:p>
    <w:p>
      <w:pPr>
        <w:pStyle w:val="14"/>
        <w:widowControl/>
        <w:numPr>
          <w:ilvl w:val="0"/>
          <w:numId w:val="18"/>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预算考核在企业整体考核中的定位</w:t>
      </w:r>
    </w:p>
    <w:p>
      <w:pPr>
        <w:pStyle w:val="14"/>
        <w:widowControl/>
        <w:numPr>
          <w:ilvl w:val="0"/>
          <w:numId w:val="18"/>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基于平衡计分卡的预算考核体系</w:t>
      </w:r>
    </w:p>
    <w:p>
      <w:pPr>
        <w:pStyle w:val="14"/>
        <w:widowControl/>
        <w:numPr>
          <w:ilvl w:val="0"/>
          <w:numId w:val="18"/>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预算考核的实施与兑现</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（六）案例分享与软件篇</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19.企业预算管理实操分享</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某大型企业集团预算管理经验分享</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20.预算管理信息化</w:t>
      </w:r>
    </w:p>
    <w:p>
      <w:pPr>
        <w:pStyle w:val="14"/>
        <w:widowControl/>
        <w:numPr>
          <w:ilvl w:val="0"/>
          <w:numId w:val="19"/>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预算管理信息化概述</w:t>
      </w:r>
    </w:p>
    <w:p>
      <w:pPr>
        <w:pStyle w:val="14"/>
        <w:widowControl/>
        <w:numPr>
          <w:ilvl w:val="0"/>
          <w:numId w:val="19"/>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IT时代的预算管理对信息系统的要求</w:t>
      </w:r>
    </w:p>
    <w:p>
      <w:pPr>
        <w:pStyle w:val="14"/>
        <w:widowControl/>
        <w:numPr>
          <w:ilvl w:val="0"/>
          <w:numId w:val="19"/>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主流全面预算信息系统介绍</w:t>
      </w:r>
    </w:p>
    <w:p>
      <w:pPr>
        <w:pStyle w:val="14"/>
        <w:widowControl/>
        <w:numPr>
          <w:ilvl w:val="0"/>
          <w:numId w:val="19"/>
        </w:numPr>
        <w:spacing w:line="480" w:lineRule="exact"/>
        <w:ind w:firstLineChars="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全面预算信息系统应用案例</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21.结构化讨论</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企业预算管理体系建设中存在的问题、原因分析与优化方案</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四</w:t>
      </w:r>
      <w:r>
        <w:rPr>
          <w:rFonts w:asciiTheme="minorEastAsia" w:hAnsiTheme="minorEastAsia" w:eastAsiaTheme="minorEastAsia"/>
          <w:b/>
          <w:sz w:val="24"/>
          <w:szCs w:val="24"/>
        </w:rPr>
        <w:t>、师资团队</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师资团队由北京国家会计学院教授、企业实务界专家、中介服务机构专家以及知名高校相关专家教授等组成，包括但不限于：</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王志成  北京国家会计学院副教授，具有十几年企业预算管理咨询、研究、方案设计与实施的丰富经验，本项目责任教授</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贺颖奇  北京国家会计学院副教授，会计系主任，管理会计研究所所长</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杨 辉    北京国家会计学院副教授，管理学博士</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郝宇晓  诺亚舟高级副总裁，预算管理实操专家</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田艳丽  中国铁路通信信号股份有限公司监事会主席、研究设计院总会计师</w:t>
      </w:r>
    </w:p>
    <w:p>
      <w:pPr>
        <w:widowControl/>
        <w:spacing w:line="480" w:lineRule="exact"/>
        <w:ind w:firstLine="480" w:firstLineChars="200"/>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汤书平  兵器集团管理会计办公室主任</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五</w:t>
      </w:r>
      <w:r>
        <w:rPr>
          <w:rFonts w:asciiTheme="minorEastAsia" w:hAnsiTheme="minorEastAsia" w:eastAsiaTheme="minorEastAsia"/>
          <w:b/>
          <w:sz w:val="24"/>
          <w:szCs w:val="24"/>
        </w:rPr>
        <w:t>、时间与地点</w:t>
      </w:r>
    </w:p>
    <w:p>
      <w:pPr>
        <w:widowControl/>
        <w:spacing w:line="480" w:lineRule="exact"/>
        <w:ind w:firstLine="465"/>
        <w:jc w:val="left"/>
        <w:outlineLvl w:val="2"/>
        <w:rPr>
          <w:rFonts w:asciiTheme="minorEastAsia" w:hAnsiTheme="minorEastAsia" w:eastAsiaTheme="minorEastAsia"/>
          <w:sz w:val="24"/>
          <w:szCs w:val="24"/>
        </w:rPr>
      </w:pPr>
      <w:r>
        <w:rPr>
          <w:rFonts w:hint="eastAsia" w:asciiTheme="minorEastAsia" w:hAnsiTheme="minorEastAsia" w:eastAsiaTheme="minorEastAsia"/>
          <w:sz w:val="24"/>
          <w:szCs w:val="24"/>
        </w:rPr>
        <w:t>2017年10月15日—17日（14日报到）       北京国家会计学院</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六</w:t>
      </w:r>
      <w:r>
        <w:rPr>
          <w:rFonts w:asciiTheme="minorEastAsia" w:hAnsiTheme="minorEastAsia" w:eastAsiaTheme="minorEastAsia"/>
          <w:b/>
          <w:sz w:val="24"/>
          <w:szCs w:val="24"/>
        </w:rPr>
        <w:t>、收费标准</w:t>
      </w:r>
    </w:p>
    <w:p>
      <w:pPr>
        <w:widowControl/>
        <w:spacing w:line="480" w:lineRule="exact"/>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、培训</w:t>
      </w:r>
      <w:r>
        <w:rPr>
          <w:rFonts w:asciiTheme="minorEastAsia" w:hAnsiTheme="minorEastAsia" w:eastAsiaTheme="minorEastAsia"/>
          <w:sz w:val="24"/>
          <w:szCs w:val="24"/>
        </w:rPr>
        <w:t>费：人民币3600元/人，费用均不含食宿。发票抬头为培训费。</w:t>
      </w:r>
    </w:p>
    <w:p>
      <w:pPr>
        <w:widowControl/>
        <w:spacing w:line="480" w:lineRule="exact"/>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在北京国家会计学院举办的可提供食宿。就餐为自助餐，收费标准为120元/人天；住宿标准：普通单人间220元/天，商务间</w:t>
      </w:r>
      <w:r>
        <w:rPr>
          <w:rFonts w:hint="eastAsia" w:asciiTheme="minorEastAsia" w:hAnsiTheme="minorEastAsia" w:eastAsiaTheme="minorEastAsia"/>
          <w:sz w:val="24"/>
          <w:szCs w:val="24"/>
        </w:rPr>
        <w:t>400</w:t>
      </w:r>
      <w:r>
        <w:rPr>
          <w:rFonts w:asciiTheme="minorEastAsia" w:hAnsiTheme="minorEastAsia" w:eastAsiaTheme="minorEastAsia"/>
          <w:sz w:val="24"/>
          <w:szCs w:val="24"/>
        </w:rPr>
        <w:t>元/天，新商务间</w:t>
      </w:r>
      <w:r>
        <w:rPr>
          <w:rFonts w:hint="eastAsia" w:asciiTheme="minorEastAsia" w:hAnsiTheme="minorEastAsia" w:eastAsiaTheme="minorEastAsia"/>
          <w:sz w:val="24"/>
          <w:szCs w:val="24"/>
        </w:rPr>
        <w:t>60</w:t>
      </w:r>
      <w:r>
        <w:rPr>
          <w:rFonts w:asciiTheme="minorEastAsia" w:hAnsiTheme="minorEastAsia" w:eastAsiaTheme="minorEastAsia"/>
          <w:sz w:val="24"/>
          <w:szCs w:val="24"/>
        </w:rPr>
        <w:t>0元/天。（住宿费用含游泳、健身、净娱乐、宽带上网等费用）。</w:t>
      </w:r>
    </w:p>
    <w:p>
      <w:pPr>
        <w:widowControl/>
        <w:spacing w:line="480" w:lineRule="exact"/>
        <w:ind w:firstLine="482" w:firstLineChars="200"/>
        <w:jc w:val="left"/>
        <w:outlineLvl w:val="2"/>
        <w:rPr>
          <w:rFonts w:asciiTheme="minorEastAsia" w:hAnsiTheme="minorEastAsia" w:eastAsiaTheme="minorEastAsia"/>
          <w:b/>
          <w:sz w:val="24"/>
          <w:szCs w:val="24"/>
        </w:rPr>
      </w:pPr>
      <w:r>
        <w:rPr>
          <w:rFonts w:hint="eastAsia" w:asciiTheme="minorEastAsia" w:hAnsiTheme="minorEastAsia" w:eastAsiaTheme="minorEastAsia"/>
          <w:b/>
          <w:sz w:val="24"/>
          <w:szCs w:val="24"/>
        </w:rPr>
        <w:t>七</w:t>
      </w:r>
      <w:r>
        <w:rPr>
          <w:rFonts w:asciiTheme="minorEastAsia" w:hAnsiTheme="minorEastAsia" w:eastAsiaTheme="minorEastAsia"/>
          <w:b/>
          <w:sz w:val="24"/>
          <w:szCs w:val="24"/>
        </w:rPr>
        <w:t>、缴费方式</w:t>
      </w:r>
    </w:p>
    <w:p>
      <w:pPr>
        <w:widowControl/>
        <w:spacing w:line="480" w:lineRule="exact"/>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w:t>
      </w:r>
      <w:r>
        <w:rPr>
          <w:rFonts w:asciiTheme="minorEastAsia" w:hAnsiTheme="minorEastAsia" w:eastAsiaTheme="minorEastAsia"/>
          <w:sz w:val="24"/>
          <w:szCs w:val="24"/>
        </w:rPr>
        <w:t>报到时直接缴纳现金或者现场刷卡</w:t>
      </w:r>
    </w:p>
    <w:p>
      <w:pPr>
        <w:widowControl/>
        <w:spacing w:line="480" w:lineRule="exact"/>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asciiTheme="minorEastAsia" w:hAnsiTheme="minorEastAsia" w:eastAsiaTheme="minorEastAsia"/>
          <w:sz w:val="24"/>
          <w:szCs w:val="24"/>
        </w:rPr>
        <w:t>银行汇款：</w:t>
      </w:r>
    </w:p>
    <w:p>
      <w:pPr>
        <w:widowControl/>
        <w:spacing w:line="480" w:lineRule="exact"/>
        <w:ind w:firstLine="482"/>
        <w:jc w:val="left"/>
        <w:rPr>
          <w:rFonts w:asciiTheme="minorEastAsia" w:hAnsiTheme="minorEastAsia" w:eastAsiaTheme="minorEastAsia"/>
          <w:sz w:val="24"/>
          <w:szCs w:val="24"/>
        </w:rPr>
      </w:pPr>
      <w:r>
        <w:rPr>
          <w:rFonts w:asciiTheme="minorEastAsia" w:hAnsiTheme="minorEastAsia" w:eastAsiaTheme="minorEastAsia"/>
          <w:sz w:val="24"/>
          <w:szCs w:val="24"/>
        </w:rPr>
        <w:t>单位名称：北京国家会计学院</w:t>
      </w:r>
    </w:p>
    <w:p>
      <w:pPr>
        <w:widowControl/>
        <w:spacing w:line="480" w:lineRule="exact"/>
        <w:ind w:firstLine="482"/>
        <w:jc w:val="left"/>
        <w:rPr>
          <w:rFonts w:asciiTheme="minorEastAsia" w:hAnsiTheme="minorEastAsia" w:eastAsiaTheme="minorEastAsia"/>
          <w:sz w:val="24"/>
          <w:szCs w:val="24"/>
        </w:rPr>
      </w:pPr>
      <w:r>
        <w:rPr>
          <w:rFonts w:asciiTheme="minorEastAsia" w:hAnsiTheme="minorEastAsia" w:eastAsiaTheme="minorEastAsia"/>
          <w:sz w:val="24"/>
          <w:szCs w:val="24"/>
        </w:rPr>
        <w:t>账号：11001020100056030985</w:t>
      </w:r>
    </w:p>
    <w:p>
      <w:pPr>
        <w:widowControl/>
        <w:spacing w:line="480" w:lineRule="exact"/>
        <w:ind w:firstLine="482"/>
        <w:jc w:val="left"/>
        <w:rPr>
          <w:rFonts w:asciiTheme="minorEastAsia" w:hAnsiTheme="minorEastAsia" w:eastAsiaTheme="minorEastAsia"/>
          <w:sz w:val="24"/>
          <w:szCs w:val="24"/>
        </w:rPr>
      </w:pPr>
      <w:r>
        <w:rPr>
          <w:rFonts w:asciiTheme="minorEastAsia" w:hAnsiTheme="minorEastAsia" w:eastAsiaTheme="minorEastAsia"/>
          <w:sz w:val="24"/>
          <w:szCs w:val="24"/>
        </w:rPr>
        <w:t>开户行：建行北京市分行顺义天竺支行</w:t>
      </w:r>
    </w:p>
    <w:p>
      <w:pPr>
        <w:widowControl/>
        <w:spacing w:line="480" w:lineRule="exact"/>
        <w:ind w:firstLine="482"/>
        <w:jc w:val="left"/>
        <w:rPr>
          <w:rFonts w:asciiTheme="minorEastAsia" w:hAnsiTheme="minorEastAsia" w:eastAsiaTheme="minorEastAsia"/>
          <w:sz w:val="24"/>
          <w:szCs w:val="24"/>
        </w:rPr>
      </w:pPr>
      <w:r>
        <w:rPr>
          <w:rFonts w:asciiTheme="minorEastAsia" w:hAnsiTheme="minorEastAsia" w:eastAsiaTheme="minorEastAsia"/>
          <w:sz w:val="24"/>
          <w:szCs w:val="24"/>
        </w:rPr>
        <w:t>注：汇款学员请于报到当日持汇款复印件报到，否则视同未汇款，需重新交纳费用</w:t>
      </w:r>
    </w:p>
    <w:p>
      <w:pPr>
        <w:spacing w:line="460" w:lineRule="exact"/>
        <w:ind w:right="178" w:rightChars="85" w:firstLine="361" w:firstLineChars="150"/>
        <w:jc w:val="left"/>
        <w:rPr>
          <w:b/>
          <w:sz w:val="24"/>
          <w:szCs w:val="24"/>
        </w:rPr>
      </w:pPr>
      <w:r>
        <w:rPr>
          <w:rFonts w:hint="eastAsia" w:asciiTheme="minorEastAsia" w:hAnsiTheme="minorEastAsia" w:eastAsiaTheme="minorEastAsia"/>
          <w:b/>
          <w:sz w:val="24"/>
          <w:szCs w:val="24"/>
        </w:rPr>
        <w:t>八、</w:t>
      </w:r>
      <w:r>
        <w:rPr>
          <w:rFonts w:hint="eastAsia"/>
          <w:b/>
          <w:sz w:val="24"/>
          <w:szCs w:val="24"/>
        </w:rPr>
        <w:t>结业证书</w:t>
      </w:r>
    </w:p>
    <w:p>
      <w:pPr>
        <w:widowControl/>
        <w:shd w:val="clear" w:color="auto" w:fill="FFFFFF"/>
        <w:spacing w:line="460" w:lineRule="exact"/>
        <w:ind w:right="-105" w:rightChars="-50" w:firstLine="624" w:firstLineChars="260"/>
        <w:jc w:val="left"/>
        <w:rPr>
          <w:rFonts w:ascii="宋体" w:hAnsi="宋体" w:cs="宋体"/>
          <w:bCs/>
          <w:kern w:val="0"/>
          <w:sz w:val="24"/>
          <w:szCs w:val="24"/>
        </w:rPr>
      </w:pPr>
      <w:r>
        <w:rPr>
          <w:rFonts w:hint="eastAsia" w:ascii="宋体" w:hAnsi="宋体" w:cs="宋体"/>
          <w:bCs/>
          <w:kern w:val="0"/>
          <w:sz w:val="24"/>
          <w:szCs w:val="24"/>
        </w:rPr>
        <w:t>培训班结束后由北京国家会计学院颁发结业证书。</w:t>
      </w:r>
    </w:p>
    <w:p>
      <w:pPr>
        <w:spacing w:line="460" w:lineRule="exact"/>
        <w:ind w:right="178" w:rightChars="85" w:firstLine="361" w:firstLineChars="150"/>
        <w:jc w:val="left"/>
        <w:rPr>
          <w:b/>
          <w:sz w:val="24"/>
          <w:szCs w:val="24"/>
        </w:rPr>
      </w:pPr>
    </w:p>
    <w:p>
      <w:pPr>
        <w:widowControl/>
        <w:spacing w:line="480" w:lineRule="exact"/>
        <w:ind w:firstLine="482"/>
        <w:jc w:val="left"/>
        <w:rPr>
          <w:rFonts w:asciiTheme="minorEastAsia" w:hAnsiTheme="minorEastAsia" w:eastAsiaTheme="minorEastAsia"/>
          <w:sz w:val="24"/>
          <w:szCs w:val="24"/>
        </w:rPr>
      </w:pPr>
    </w:p>
    <w:p>
      <w:pPr>
        <w:spacing w:line="440" w:lineRule="exact"/>
        <w:rPr>
          <w:rFonts w:asciiTheme="minorEastAsia" w:hAnsiTheme="minorEastAsia" w:eastAsiaTheme="minorEastAsia"/>
          <w:sz w:val="24"/>
          <w:szCs w:val="24"/>
        </w:rPr>
      </w:pPr>
    </w:p>
    <w:p>
      <w:pPr>
        <w:spacing w:line="44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40" w:lineRule="exact"/>
        <w:rPr>
          <w:rFonts w:asciiTheme="minorEastAsia" w:hAnsiTheme="minorEastAsia" w:eastAsiaTheme="minorEastAsia"/>
          <w:b/>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b/>
          <w:sz w:val="24"/>
          <w:szCs w:val="24"/>
        </w:rPr>
        <w:t xml:space="preserve">  北京国家会计学院教研中心</w:t>
      </w:r>
    </w:p>
    <w:p>
      <w:pPr>
        <w:spacing w:line="440" w:lineRule="exact"/>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                                                                2017年8月</w:t>
      </w:r>
    </w:p>
    <w:p>
      <w:pPr>
        <w:spacing w:line="440" w:lineRule="exact"/>
        <w:jc w:val="center"/>
        <w:rPr>
          <w:rFonts w:asciiTheme="minorEastAsia" w:hAnsiTheme="minorEastAsia" w:eastAsiaTheme="minorEastAsia"/>
          <w:sz w:val="24"/>
          <w:szCs w:val="24"/>
        </w:rPr>
      </w:pPr>
    </w:p>
    <w:p>
      <w:pPr>
        <w:spacing w:line="440" w:lineRule="exact"/>
        <w:jc w:val="center"/>
        <w:rPr>
          <w:rFonts w:asciiTheme="minorEastAsia" w:hAnsiTheme="minorEastAsia" w:eastAsiaTheme="minorEastAsia"/>
          <w:b/>
          <w:sz w:val="24"/>
          <w:szCs w:val="24"/>
        </w:rPr>
      </w:pPr>
    </w:p>
    <w:p>
      <w:pPr>
        <w:spacing w:line="440" w:lineRule="exact"/>
        <w:jc w:val="center"/>
        <w:rPr>
          <w:rFonts w:asciiTheme="minorEastAsia" w:hAnsiTheme="minorEastAsia" w:eastAsiaTheme="minorEastAsia"/>
          <w:b/>
          <w:sz w:val="24"/>
          <w:szCs w:val="24"/>
        </w:rPr>
      </w:pPr>
    </w:p>
    <w:p>
      <w:pPr>
        <w:spacing w:line="440" w:lineRule="exact"/>
        <w:jc w:val="center"/>
        <w:rPr>
          <w:rFonts w:asciiTheme="minorEastAsia" w:hAnsiTheme="minorEastAsia" w:eastAsiaTheme="minorEastAsia"/>
          <w:b/>
          <w:sz w:val="24"/>
          <w:szCs w:val="24"/>
        </w:rPr>
      </w:pPr>
    </w:p>
    <w:p>
      <w:pPr>
        <w:spacing w:line="440" w:lineRule="exact"/>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企业预算管理</w:t>
      </w:r>
      <w:r>
        <w:rPr>
          <w:rFonts w:asciiTheme="minorEastAsia" w:hAnsiTheme="minorEastAsia" w:eastAsiaTheme="minorEastAsia"/>
          <w:b/>
          <w:sz w:val="24"/>
          <w:szCs w:val="24"/>
        </w:rPr>
        <w:t>体系建设</w:t>
      </w:r>
      <w:r>
        <w:rPr>
          <w:rFonts w:hint="eastAsia" w:asciiTheme="minorEastAsia" w:hAnsiTheme="minorEastAsia" w:eastAsiaTheme="minorEastAsia"/>
          <w:b/>
          <w:sz w:val="24"/>
          <w:szCs w:val="24"/>
        </w:rPr>
        <w:t>与优化高级研修班报名回执表</w:t>
      </w:r>
    </w:p>
    <w:tbl>
      <w:tblPr>
        <w:tblStyle w:val="9"/>
        <w:tblW w:w="975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
      <w:tblGrid>
        <w:gridCol w:w="1454"/>
        <w:gridCol w:w="878"/>
        <w:gridCol w:w="1117"/>
        <w:gridCol w:w="1338"/>
        <w:gridCol w:w="1558"/>
        <w:gridCol w:w="1846"/>
        <w:gridCol w:w="1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31" w:hRule="exact"/>
          <w:jc w:val="center"/>
        </w:trPr>
        <w:tc>
          <w:tcPr>
            <w:tcW w:w="1454" w:type="dxa"/>
            <w:tcBorders>
              <w:top w:val="single" w:color="auto" w:sz="4" w:space="0"/>
              <w:bottom w:val="single" w:color="auto" w:sz="4" w:space="0"/>
              <w:right w:val="single" w:color="auto" w:sz="4" w:space="0"/>
            </w:tcBorders>
            <w:vAlign w:val="center"/>
          </w:tcPr>
          <w:p>
            <w:pPr>
              <w:spacing w:line="42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单位名称</w:t>
            </w:r>
          </w:p>
        </w:tc>
        <w:tc>
          <w:tcPr>
            <w:tcW w:w="4891" w:type="dxa"/>
            <w:gridSpan w:val="4"/>
            <w:tcBorders>
              <w:top w:val="single" w:color="auto" w:sz="4" w:space="0"/>
              <w:left w:val="single" w:color="auto" w:sz="4" w:space="0"/>
              <w:bottom w:val="single" w:color="auto" w:sz="4" w:space="0"/>
            </w:tcBorders>
            <w:vAlign w:val="center"/>
          </w:tcPr>
          <w:p>
            <w:pPr>
              <w:spacing w:line="420" w:lineRule="exact"/>
              <w:jc w:val="center"/>
              <w:rPr>
                <w:rFonts w:asciiTheme="minorEastAsia" w:hAnsiTheme="minorEastAsia" w:eastAsiaTheme="minorEastAsia"/>
                <w:sz w:val="24"/>
                <w:szCs w:val="24"/>
              </w:rPr>
            </w:pPr>
          </w:p>
        </w:tc>
        <w:tc>
          <w:tcPr>
            <w:tcW w:w="1846" w:type="dxa"/>
            <w:tcBorders>
              <w:top w:val="single" w:color="auto" w:sz="4" w:space="0"/>
              <w:left w:val="single" w:color="auto" w:sz="4" w:space="0"/>
              <w:bottom w:val="single" w:color="auto" w:sz="4" w:space="0"/>
            </w:tcBorders>
            <w:vAlign w:val="center"/>
          </w:tcPr>
          <w:p>
            <w:pPr>
              <w:spacing w:line="42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邮编</w:t>
            </w:r>
          </w:p>
        </w:tc>
        <w:tc>
          <w:tcPr>
            <w:tcW w:w="1568" w:type="dxa"/>
            <w:tcBorders>
              <w:top w:val="single" w:color="auto" w:sz="4" w:space="0"/>
              <w:left w:val="single" w:color="auto" w:sz="4" w:space="0"/>
              <w:bottom w:val="single" w:color="auto" w:sz="4" w:space="0"/>
            </w:tcBorders>
            <w:vAlign w:val="center"/>
          </w:tcPr>
          <w:p>
            <w:pPr>
              <w:spacing w:line="420" w:lineRule="exact"/>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439"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学员姓名</w:t>
            </w: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职</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务</w:t>
            </w: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240" w:firstLineChars="1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电</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话</w:t>
            </w: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240" w:firstLineChars="1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传真</w:t>
            </w:r>
          </w:p>
        </w:tc>
        <w:tc>
          <w:tcPr>
            <w:tcW w:w="1846"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240" w:firstLineChars="1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手</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机</w:t>
            </w:r>
          </w:p>
        </w:tc>
        <w:tc>
          <w:tcPr>
            <w:tcW w:w="1568" w:type="dxa"/>
            <w:tcBorders>
              <w:top w:val="single" w:color="auto" w:sz="4" w:space="0"/>
              <w:left w:val="single" w:color="auto" w:sz="4" w:space="0"/>
              <w:bottom w:val="single" w:color="auto" w:sz="4" w:space="0"/>
            </w:tcBorders>
            <w:vAlign w:val="center"/>
          </w:tcPr>
          <w:p>
            <w:pPr>
              <w:tabs>
                <w:tab w:val="left" w:pos="360"/>
                <w:tab w:val="left" w:pos="540"/>
              </w:tabs>
              <w:spacing w:line="42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电子信箱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0"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480" w:firstLineChars="200"/>
              <w:rPr>
                <w:rFonts w:asciiTheme="minorEastAsia" w:hAnsiTheme="minorEastAsia" w:eastAsiaTheme="minorEastAsia"/>
                <w:sz w:val="24"/>
                <w:szCs w:val="24"/>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480" w:firstLineChars="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1421" w:hRule="atLeast"/>
          <w:jc w:val="center"/>
        </w:trPr>
        <w:tc>
          <w:tcPr>
            <w:tcW w:w="9759" w:type="dxa"/>
            <w:gridSpan w:val="7"/>
            <w:tcBorders>
              <w:top w:val="single" w:color="auto" w:sz="4" w:space="0"/>
              <w:bottom w:val="single" w:color="auto" w:sz="4" w:space="0"/>
            </w:tcBorders>
            <w:vAlign w:val="center"/>
          </w:tcPr>
          <w:p>
            <w:pPr>
              <w:spacing w:line="460" w:lineRule="exact"/>
              <w:rPr>
                <w:rFonts w:asciiTheme="minorEastAsia" w:hAnsiTheme="minorEastAsia" w:eastAsiaTheme="minorEastAsia"/>
                <w:sz w:val="24"/>
                <w:szCs w:val="24"/>
              </w:rPr>
            </w:pPr>
            <w:r>
              <w:rPr>
                <w:rFonts w:hint="eastAsia" w:asciiTheme="minorEastAsia" w:hAnsiTheme="minorEastAsia" w:eastAsiaTheme="minorEastAsia"/>
                <w:b/>
                <w:sz w:val="24"/>
                <w:szCs w:val="24"/>
              </w:rPr>
              <w:t>报名程序：</w:t>
            </w:r>
            <w:r>
              <w:rPr>
                <w:rFonts w:hint="eastAsia" w:asciiTheme="minorEastAsia" w:hAnsiTheme="minorEastAsia" w:eastAsiaTheme="minorEastAsia"/>
                <w:sz w:val="24"/>
                <w:szCs w:val="24"/>
              </w:rPr>
              <w:t>请将报名回执表填写完整后发送至，我们会在开班前一周给您发送“学员须知”，告知您研修班日程安排及报到事项，</w:t>
            </w:r>
          </w:p>
          <w:p>
            <w:pPr>
              <w:spacing w:line="460" w:lineRule="exact"/>
              <w:rPr>
                <w:rFonts w:asciiTheme="minorEastAsia" w:hAnsiTheme="minorEastAsia" w:eastAsiaTheme="minorEastAsia"/>
                <w:b/>
                <w:sz w:val="24"/>
                <w:szCs w:val="24"/>
              </w:rPr>
            </w:pPr>
            <w:r>
              <w:rPr>
                <w:rFonts w:hint="eastAsia" w:asciiTheme="minorEastAsia" w:hAnsiTheme="minorEastAsia" w:eastAsiaTheme="minorEastAsia"/>
                <w:b/>
                <w:sz w:val="24"/>
                <w:szCs w:val="24"/>
              </w:rPr>
              <w:t>报名联系人：</w:t>
            </w:r>
            <w:r>
              <w:rPr>
                <w:rFonts w:hint="eastAsia" w:asciiTheme="minorEastAsia" w:hAnsiTheme="minorEastAsia" w:eastAsiaTheme="minorEastAsia"/>
                <w:b/>
                <w:sz w:val="24"/>
                <w:szCs w:val="24"/>
                <w:lang w:val="en-US" w:eastAsia="zh-CN"/>
              </w:rPr>
              <w:t>赵诗雅   手机：18182715547    邮箱：3393096236@qq.com</w:t>
            </w:r>
          </w:p>
        </w:tc>
      </w:tr>
    </w:tbl>
    <w:p>
      <w:pPr>
        <w:rPr>
          <w:rFonts w:asciiTheme="minorEastAsia" w:hAnsiTheme="minorEastAsia" w:eastAsiaTheme="minorEastAsia"/>
          <w:sz w:val="24"/>
          <w:szCs w:val="24"/>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Segoe UI Symbol">
    <w:panose1 w:val="020B0502040204020203"/>
    <w:charset w:val="00"/>
    <w:family w:val="auto"/>
    <w:pitch w:val="default"/>
    <w:sig w:usb0="8000006F" w:usb1="1200FBEF" w:usb2="0064C000" w:usb3="00000002"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04BF"/>
    <w:multiLevelType w:val="multilevel"/>
    <w:tmpl w:val="089904BF"/>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C1414F6"/>
    <w:multiLevelType w:val="multilevel"/>
    <w:tmpl w:val="0C1414F6"/>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C6938F0"/>
    <w:multiLevelType w:val="multilevel"/>
    <w:tmpl w:val="0C6938F0"/>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2CC3DD6"/>
    <w:multiLevelType w:val="multilevel"/>
    <w:tmpl w:val="12CC3DD6"/>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4">
    <w:nsid w:val="175B3D4E"/>
    <w:multiLevelType w:val="multilevel"/>
    <w:tmpl w:val="175B3D4E"/>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5">
    <w:nsid w:val="1B136D99"/>
    <w:multiLevelType w:val="multilevel"/>
    <w:tmpl w:val="1B136D99"/>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22B06DC7"/>
    <w:multiLevelType w:val="multilevel"/>
    <w:tmpl w:val="22B06DC7"/>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364651C"/>
    <w:multiLevelType w:val="multilevel"/>
    <w:tmpl w:val="2364651C"/>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25130EC9"/>
    <w:multiLevelType w:val="multilevel"/>
    <w:tmpl w:val="25130EC9"/>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9">
    <w:nsid w:val="2E4424AC"/>
    <w:multiLevelType w:val="multilevel"/>
    <w:tmpl w:val="2E4424AC"/>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365106E8"/>
    <w:multiLevelType w:val="multilevel"/>
    <w:tmpl w:val="365106E8"/>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38AB3F72"/>
    <w:multiLevelType w:val="multilevel"/>
    <w:tmpl w:val="38AB3F72"/>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12">
    <w:nsid w:val="3B183D82"/>
    <w:multiLevelType w:val="multilevel"/>
    <w:tmpl w:val="3B183D82"/>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3F491B51"/>
    <w:multiLevelType w:val="multilevel"/>
    <w:tmpl w:val="3F491B51"/>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14">
    <w:nsid w:val="6201798E"/>
    <w:multiLevelType w:val="multilevel"/>
    <w:tmpl w:val="6201798E"/>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15">
    <w:nsid w:val="66E11FA3"/>
    <w:multiLevelType w:val="multilevel"/>
    <w:tmpl w:val="66E11FA3"/>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6B1C5F1B"/>
    <w:multiLevelType w:val="multilevel"/>
    <w:tmpl w:val="6B1C5F1B"/>
    <w:lvl w:ilvl="0" w:tentative="0">
      <w:start w:val="1"/>
      <w:numFmt w:val="lowerLetter"/>
      <w:lvlText w:val="%1)"/>
      <w:lvlJc w:val="left"/>
      <w:pPr>
        <w:ind w:left="890" w:hanging="420"/>
      </w:p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abstractNum w:abstractNumId="17">
    <w:nsid w:val="78CF72CF"/>
    <w:multiLevelType w:val="multilevel"/>
    <w:tmpl w:val="78CF72CF"/>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7C72782C"/>
    <w:multiLevelType w:val="multilevel"/>
    <w:tmpl w:val="7C72782C"/>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0"/>
  </w:num>
  <w:num w:numId="2">
    <w:abstractNumId w:val="0"/>
  </w:num>
  <w:num w:numId="3">
    <w:abstractNumId w:val="6"/>
  </w:num>
  <w:num w:numId="4">
    <w:abstractNumId w:val="12"/>
  </w:num>
  <w:num w:numId="5">
    <w:abstractNumId w:val="9"/>
  </w:num>
  <w:num w:numId="6">
    <w:abstractNumId w:val="1"/>
  </w:num>
  <w:num w:numId="7">
    <w:abstractNumId w:val="16"/>
  </w:num>
  <w:num w:numId="8">
    <w:abstractNumId w:val="14"/>
  </w:num>
  <w:num w:numId="9">
    <w:abstractNumId w:val="3"/>
  </w:num>
  <w:num w:numId="10">
    <w:abstractNumId w:val="8"/>
  </w:num>
  <w:num w:numId="11">
    <w:abstractNumId w:val="11"/>
  </w:num>
  <w:num w:numId="12">
    <w:abstractNumId w:val="4"/>
  </w:num>
  <w:num w:numId="13">
    <w:abstractNumId w:val="13"/>
  </w:num>
  <w:num w:numId="14">
    <w:abstractNumId w:val="5"/>
  </w:num>
  <w:num w:numId="15">
    <w:abstractNumId w:val="18"/>
  </w:num>
  <w:num w:numId="16">
    <w:abstractNumId w:val="7"/>
  </w:num>
  <w:num w:numId="17">
    <w:abstractNumId w:val="15"/>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9CF"/>
    <w:rsid w:val="000721A8"/>
    <w:rsid w:val="001B47AB"/>
    <w:rsid w:val="00204411"/>
    <w:rsid w:val="002133E9"/>
    <w:rsid w:val="00413F4C"/>
    <w:rsid w:val="00561340"/>
    <w:rsid w:val="005844C4"/>
    <w:rsid w:val="00640945"/>
    <w:rsid w:val="008024AD"/>
    <w:rsid w:val="00886297"/>
    <w:rsid w:val="00925468"/>
    <w:rsid w:val="0094271B"/>
    <w:rsid w:val="00964D05"/>
    <w:rsid w:val="009839B0"/>
    <w:rsid w:val="009F4459"/>
    <w:rsid w:val="00A017F7"/>
    <w:rsid w:val="00A1368A"/>
    <w:rsid w:val="00A25C07"/>
    <w:rsid w:val="00A955EE"/>
    <w:rsid w:val="00AA122D"/>
    <w:rsid w:val="00AD7CC9"/>
    <w:rsid w:val="00B12102"/>
    <w:rsid w:val="00BB29CF"/>
    <w:rsid w:val="00CF5194"/>
    <w:rsid w:val="00D01D5D"/>
    <w:rsid w:val="00D0623F"/>
    <w:rsid w:val="00D84F0C"/>
    <w:rsid w:val="00E60C53"/>
    <w:rsid w:val="00E86B87"/>
    <w:rsid w:val="00EE7C7B"/>
    <w:rsid w:val="00FA742F"/>
    <w:rsid w:val="3D222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12"/>
    <w:qFormat/>
    <w:uiPriority w:val="9"/>
    <w:pPr>
      <w:widowControl/>
      <w:spacing w:before="240" w:after="240"/>
      <w:jc w:val="left"/>
      <w:outlineLvl w:val="2"/>
    </w:pPr>
    <w:rPr>
      <w:rFonts w:ascii="宋体" w:hAnsi="宋体" w:cs="宋体"/>
      <w:b/>
      <w:bCs/>
      <w:kern w:val="0"/>
      <w:sz w:val="28"/>
      <w:szCs w:val="28"/>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themeColor="hyperlink"/>
      <w:u w:val="single"/>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 w:type="character" w:customStyle="1" w:styleId="12">
    <w:name w:val="标题 3 Char"/>
    <w:basedOn w:val="6"/>
    <w:link w:val="2"/>
    <w:qFormat/>
    <w:uiPriority w:val="9"/>
    <w:rPr>
      <w:rFonts w:ascii="宋体" w:hAnsi="宋体" w:eastAsia="宋体" w:cs="宋体"/>
      <w:b/>
      <w:bCs/>
      <w:kern w:val="0"/>
      <w:sz w:val="28"/>
      <w:szCs w:val="28"/>
    </w:rPr>
  </w:style>
  <w:style w:type="paragraph" w:customStyle="1" w:styleId="13">
    <w:name w:val="padding2em"/>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563</Words>
  <Characters>3211</Characters>
  <Lines>26</Lines>
  <Paragraphs>7</Paragraphs>
  <TotalTime>0</TotalTime>
  <ScaleCrop>false</ScaleCrop>
  <LinksUpToDate>false</LinksUpToDate>
  <CharactersWithSpaces>3767</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2017-04-26T01:29:00Z</dcterms:created>
  <dc:creator>David-Ding</dc:creator>
  <cp:lastModifiedBy>Administrator</cp:lastModifiedBy>
  <dcterms:modified xsi:type="dcterms:W3CDTF">2017-09-05T04:03:00Z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