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ascii="宋体" w:cs="宋体"/>
          <w:b/>
          <w:color w:val="FF0000"/>
          <w:kern w:val="0"/>
          <w:sz w:val="68"/>
          <w:szCs w:val="84"/>
        </w:rPr>
      </w:pPr>
      <w:r>
        <w:rPr>
          <w:spacing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742950</wp:posOffset>
                </wp:positionV>
                <wp:extent cx="5286375" cy="0"/>
                <wp:effectExtent l="0" t="0" r="0" b="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6375" cy="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.5pt;margin-top:58.5pt;height:0pt;width:416.25pt;z-index:251658240;mso-width-relative:page;mso-height-relative:page;" filled="f" stroked="t" coordsize="21600,21600" o:gfxdata="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DrVp0TWAAAACQEAAA8AAAAAAAAAAQAgAAAAIgAAAGRycy9kb3ducmV2&#10;LnhtbFBLAQIUABQAAAAIAIdO4kA8AZfAxQEAAIwDAAAOAAAAAAAAAAEAIAAAACUBAABkcnMvZTJv&#10;RG9jLnhtbFBLBQYAAAAABgAGAFkBAABcBQAAAAA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color w:val="FF0000"/>
          <w:spacing w:val="24"/>
          <w:sz w:val="78"/>
          <w:szCs w:val="72"/>
        </w:rPr>
        <w:t>厦门国家会计学院</w:t>
      </w:r>
    </w:p>
    <w:p>
      <w:pPr>
        <w:keepNext/>
        <w:widowControl/>
        <w:spacing w:beforeLines="50" w:afterLines="50" w:line="480" w:lineRule="exact"/>
        <w:ind w:firstLine="275" w:firstLineChars="98"/>
        <w:jc w:val="left"/>
        <w:outlineLvl w:val="2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关于举办“</w:t>
      </w:r>
      <w:r>
        <w:rPr>
          <w:rFonts w:ascii="宋体" w:hAnsi="宋体" w:cs="宋体"/>
          <w:b/>
          <w:kern w:val="0"/>
          <w:sz w:val="28"/>
          <w:szCs w:val="28"/>
        </w:rPr>
        <w:t>2017企业内控流程梳理、评价与审计</w:t>
      </w:r>
      <w:r>
        <w:rPr>
          <w:rFonts w:hint="eastAsia" w:ascii="宋体" w:hAnsi="宋体" w:cs="宋体"/>
          <w:b/>
          <w:kern w:val="0"/>
          <w:sz w:val="28"/>
          <w:szCs w:val="28"/>
        </w:rPr>
        <w:t>”的通知</w:t>
      </w:r>
    </w:p>
    <w:p>
      <w:pPr>
        <w:keepNext/>
        <w:widowControl/>
        <w:spacing w:line="480" w:lineRule="exact"/>
        <w:jc w:val="left"/>
        <w:outlineLvl w:val="2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/>
          <w:b/>
          <w:sz w:val="24"/>
          <w:szCs w:val="24"/>
        </w:rPr>
        <w:t>各有关单位：</w:t>
      </w:r>
    </w:p>
    <w:p>
      <w:pPr>
        <w:widowControl/>
        <w:spacing w:line="48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随着内部控制理念在企业的逐步深化，建立健全高效有序的内部控制体系，以提升企业管理水平服务企业经营绩效已成为企业共识。但是，在实务操作中，如何有效梳理各业务循环的内控流程，将内部控制有效融入企业日常经营管理活动，使得内部控制支撑企业战略发展，提升经营效应，是当前企业内部控制建设的关键。</w:t>
      </w:r>
    </w:p>
    <w:p>
      <w:pPr>
        <w:widowControl/>
        <w:spacing w:line="48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基于此，我院从实战角度出发推出本期培训班，旨在帮助学员在当前经济发展新常态下，面对外部环境的高度不确定性，企业如何提升内部控制水平，从关注规模扩张向关注发展质量，向管理要效益，降低企业经营风险。</w:t>
      </w:r>
    </w:p>
    <w:p>
      <w:pPr>
        <w:spacing w:line="480" w:lineRule="exact"/>
        <w:ind w:firstLine="472" w:firstLineChars="196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一、培训对象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>内审总监、内审经理、内审处长等内部审计部门负责人及高级主管</w: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</w:t>
      </w:r>
      <w:r>
        <w:rPr>
          <w:rFonts w:ascii="宋体" w:hAnsi="宋体" w:cs="宋体"/>
          <w:sz w:val="24"/>
          <w:szCs w:val="24"/>
        </w:rPr>
        <w:t>董事长、总经理、内部控制项目负责人及其他高层管理者；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</w:t>
      </w:r>
      <w:r>
        <w:rPr>
          <w:rFonts w:ascii="宋体" w:hAnsi="宋体" w:cs="宋体"/>
          <w:sz w:val="24"/>
          <w:szCs w:val="24"/>
        </w:rPr>
        <w:t>上市公司董秘、监事、内部控制委员会负责人及其他高级管理人员；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4、</w:t>
      </w:r>
      <w:r>
        <w:rPr>
          <w:rFonts w:ascii="宋体" w:hAnsi="宋体" w:cs="宋体"/>
          <w:sz w:val="24"/>
          <w:szCs w:val="24"/>
        </w:rPr>
        <w:t>企业总会计师、财务总监、财务部门转岗从事内部审计的负责人；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5、</w:t>
      </w:r>
      <w:r>
        <w:rPr>
          <w:rFonts w:ascii="宋体" w:hAnsi="宋体" w:cs="宋体"/>
          <w:sz w:val="24"/>
          <w:szCs w:val="24"/>
        </w:rPr>
        <w:t>专职从事内部控制评价、风险管理的从业人员。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6、</w:t>
      </w:r>
      <w:r>
        <w:rPr>
          <w:rFonts w:ascii="宋体" w:hAnsi="宋体" w:cs="宋体"/>
          <w:sz w:val="24"/>
          <w:szCs w:val="24"/>
        </w:rPr>
        <w:t>负责上市公司内部控制审计的注册会计师与内部控制咨询机构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7、</w:t>
      </w:r>
      <w:r>
        <w:rPr>
          <w:rFonts w:ascii="宋体" w:hAnsi="宋体" w:cs="宋体"/>
          <w:sz w:val="24"/>
          <w:szCs w:val="24"/>
        </w:rPr>
        <w:t>高校从事审计理论、内部控制教学的教师。</w:t>
      </w:r>
    </w:p>
    <w:p>
      <w:pPr>
        <w:spacing w:line="480" w:lineRule="exact"/>
        <w:ind w:firstLine="472" w:firstLineChars="196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二、培训内容</w:t>
      </w:r>
    </w:p>
    <w:p>
      <w:pPr>
        <w:spacing w:line="480" w:lineRule="exact"/>
        <w:ind w:firstLine="472" w:firstLineChars="196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第一模块：</w:t>
      </w:r>
      <w:r>
        <w:rPr>
          <w:rFonts w:asciiTheme="minorEastAsia" w:hAnsiTheme="minorEastAsia" w:cstheme="minorEastAsia"/>
          <w:b/>
          <w:bCs/>
          <w:sz w:val="24"/>
        </w:rPr>
        <w:t xml:space="preserve"> </w:t>
      </w:r>
      <w:r>
        <w:rPr>
          <w:rFonts w:hint="eastAsia" w:ascii="宋体" w:hAnsi="宋体" w:cs="宋体"/>
          <w:b/>
          <w:sz w:val="24"/>
          <w:szCs w:val="24"/>
        </w:rPr>
        <w:t>企业内部控制建设实务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1、推动集团内控体系化建设实施路径；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2、资金活动内控建设；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3、销售活动内控建设；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4、资产管理内控建设；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5、采购及付款内控建设。</w:t>
      </w:r>
    </w:p>
    <w:p>
      <w:pPr>
        <w:spacing w:line="480" w:lineRule="exact"/>
        <w:ind w:firstLine="472" w:firstLineChars="196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第二模块：</w:t>
      </w:r>
      <w:r>
        <w:rPr>
          <w:rFonts w:asciiTheme="minorEastAsia" w:hAnsiTheme="minorEastAsia" w:cstheme="minorEastAsia"/>
          <w:b/>
          <w:bCs/>
          <w:sz w:val="24"/>
        </w:rPr>
        <w:t xml:space="preserve"> </w:t>
      </w:r>
      <w:r>
        <w:rPr>
          <w:rFonts w:hint="eastAsia" w:asciiTheme="minorEastAsia" w:hAnsiTheme="minorEastAsia" w:cstheme="minorEastAsia"/>
          <w:b/>
          <w:bCs/>
          <w:sz w:val="24"/>
        </w:rPr>
        <w:t>企业内部控制评价与审计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1、内部控制评价的内容；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2、内部控制评价的程序；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3、内部控制缺陷的认定；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4、内部控制评价报告。</w:t>
      </w:r>
    </w:p>
    <w:p>
      <w:pPr>
        <w:shd w:val="clear" w:color="auto" w:fill="FFFFFF"/>
        <w:tabs>
          <w:tab w:val="left" w:pos="720"/>
        </w:tabs>
        <w:spacing w:line="480" w:lineRule="exact"/>
        <w:ind w:firstLine="482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第三模块：</w:t>
      </w:r>
      <w:r>
        <w:rPr>
          <w:rFonts w:ascii="宋体" w:hAnsi="宋体" w:cs="宋体"/>
          <w:b/>
          <w:sz w:val="24"/>
          <w:szCs w:val="24"/>
        </w:rPr>
        <w:t>从集团管控视角看内部控制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ascii="宋体" w:hAnsi="宋体" w:cs="宋体"/>
          <w:sz w:val="24"/>
          <w:szCs w:val="24"/>
        </w:rPr>
        <w:t>内部控制未来的趋势</w: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2、内部控制</w:t>
      </w:r>
      <w:r>
        <w:rPr>
          <w:rFonts w:ascii="宋体" w:hAnsi="宋体" w:cs="宋体"/>
          <w:sz w:val="24"/>
          <w:szCs w:val="24"/>
        </w:rPr>
        <w:t>升级为集团管控</w:t>
      </w:r>
      <w:r>
        <w:rPr>
          <w:rFonts w:hint="eastAsia" w:ascii="宋体" w:hAnsi="宋体" w:cs="宋体"/>
          <w:sz w:val="24"/>
          <w:szCs w:val="24"/>
        </w:rPr>
        <w:t>的路径模式；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</w:t>
      </w:r>
      <w:r>
        <w:rPr>
          <w:rFonts w:ascii="宋体" w:hAnsi="宋体" w:cs="宋体"/>
          <w:sz w:val="24"/>
          <w:szCs w:val="24"/>
        </w:rPr>
        <w:t>集团管控与内部控制的共同点：流程与制度的梳理与整合</w: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4、</w:t>
      </w:r>
      <w:r>
        <w:rPr>
          <w:rFonts w:ascii="宋体" w:hAnsi="宋体" w:cs="宋体"/>
          <w:sz w:val="24"/>
          <w:szCs w:val="24"/>
        </w:rPr>
        <w:t>集团管控模式分类与企业内部控制的不同特征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第四模块：内部审计流程与审核实务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1、建立以风险控制为导向的内部审计流程</w:t>
      </w:r>
    </w:p>
    <w:p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内部审计组织与计划</w:t>
      </w:r>
    </w:p>
    <w:p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指导和开展内部审计</w:t>
      </w:r>
    </w:p>
    <w:p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分析性程序及符合性测试</w:t>
      </w:r>
    </w:p>
    <w:p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实质性测试及详细审查</w:t>
      </w:r>
    </w:p>
    <w:p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不同类型审计的特殊思考</w:t>
      </w:r>
    </w:p>
    <w:p>
      <w:pPr>
        <w:shd w:val="clear" w:color="auto" w:fill="FFFFFF"/>
        <w:tabs>
          <w:tab w:val="left" w:pos="720"/>
        </w:tabs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2、内部审计方法与操作审核</w:t>
      </w:r>
    </w:p>
    <w:p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内部审计方法</w:t>
      </w:r>
    </w:p>
    <w:p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操作审核与实战技巧</w:t>
      </w:r>
    </w:p>
    <w:p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风险与控制自我评估</w:t>
      </w:r>
    </w:p>
    <w:p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计算机化审计工具和技术</w:t>
      </w:r>
    </w:p>
    <w:p>
      <w:pPr>
        <w:shd w:val="clear" w:color="auto" w:fill="FFFFFF"/>
        <w:spacing w:line="480" w:lineRule="exact"/>
        <w:ind w:firstLine="472" w:firstLineChars="196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三、专家阵容</w:t>
      </w:r>
    </w:p>
    <w:p>
      <w:pPr>
        <w:widowControl/>
        <w:spacing w:line="480" w:lineRule="exact"/>
        <w:ind w:left="120" w:leftChars="57"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所有课程由厦门国家会计学院精心组织的专门师资团队授课，授课老师皆具有深厚理论功底及丰富实践经验。师资包括厦门国家会计学院教授、实务界资深专家、政策制定者等。</w:t>
      </w:r>
    </w:p>
    <w:p>
      <w:pPr>
        <w:shd w:val="clear" w:color="auto" w:fill="FFFFFF"/>
        <w:spacing w:line="480" w:lineRule="exact"/>
        <w:ind w:firstLine="472" w:firstLineChars="196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四、培训班时间、地点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2017年10月19日— 23日（19日报到）     厦门国家会计学院</w:t>
      </w:r>
    </w:p>
    <w:p>
      <w:pPr>
        <w:shd w:val="clear" w:color="auto" w:fill="FFFFFF"/>
        <w:spacing w:line="480" w:lineRule="exact"/>
        <w:ind w:firstLine="472" w:firstLineChars="196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五、收费标准及缴费方式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、每人收费40</w:t>
      </w:r>
      <w:r>
        <w:rPr>
          <w:rFonts w:ascii="宋体" w:cs="宋体"/>
          <w:sz w:val="24"/>
          <w:szCs w:val="24"/>
        </w:rPr>
        <w:t>00</w:t>
      </w:r>
      <w:r>
        <w:rPr>
          <w:rFonts w:hint="eastAsia" w:ascii="宋体" w:hAnsi="宋体" w:cs="宋体"/>
          <w:sz w:val="24"/>
          <w:szCs w:val="24"/>
        </w:rPr>
        <w:t>元（含培训费、场地费、结业证书等费用）；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、食宿费每人每天28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元（含独立学员公寓、三餐及康体设施使用）。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、报到时直接缴纳现金或刷卡缴费。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cs="宋体"/>
          <w:sz w:val="24"/>
          <w:szCs w:val="24"/>
        </w:rPr>
        <w:t>4、银行汇款（报到时请携带汇款凭证复印件）：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cs="宋体"/>
          <w:sz w:val="24"/>
          <w:szCs w:val="24"/>
        </w:rPr>
        <w:t xml:space="preserve">   户  名：厦门国家会计学院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cs="宋体"/>
          <w:sz w:val="24"/>
          <w:szCs w:val="24"/>
        </w:rPr>
        <w:t xml:space="preserve">   账  号：4100020709226468888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开户行：中国工商银行厦门市思明支行</w:t>
      </w:r>
    </w:p>
    <w:p>
      <w:pPr>
        <w:shd w:val="clear" w:color="auto" w:fill="FFFFFF"/>
        <w:spacing w:line="480" w:lineRule="exact"/>
        <w:ind w:firstLine="472" w:firstLineChars="196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六、结业证书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培训班结束后由厦门国家会计学院颁发结业证书。</w:t>
      </w:r>
      <w:r>
        <w:rPr>
          <w:rFonts w:ascii="宋体" w:hAnsi="宋体" w:cs="宋体"/>
          <w:b/>
          <w:color w:val="000000"/>
          <w:sz w:val="36"/>
          <w:szCs w:val="36"/>
        </w:rPr>
        <w:t xml:space="preserve">            </w:t>
      </w:r>
    </w:p>
    <w:p>
      <w:pPr>
        <w:spacing w:line="300" w:lineRule="exact"/>
        <w:jc w:val="center"/>
        <w:rPr>
          <w:rFonts w:ascii="宋体" w:hAnsi="宋体" w:cs="宋体"/>
          <w:b/>
          <w:color w:val="000000"/>
          <w:sz w:val="36"/>
          <w:szCs w:val="36"/>
        </w:rPr>
      </w:pPr>
      <w:r>
        <w:rPr>
          <w:rFonts w:ascii="宋体" w:hAnsi="宋体" w:cs="宋体"/>
          <w:b/>
          <w:color w:val="000000"/>
          <w:sz w:val="36"/>
          <w:szCs w:val="36"/>
        </w:rPr>
        <w:t xml:space="preserve">                    </w:t>
      </w:r>
    </w:p>
    <w:p>
      <w:pPr>
        <w:spacing w:line="300" w:lineRule="exact"/>
        <w:jc w:val="center"/>
        <w:rPr>
          <w:rFonts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 xml:space="preserve">                          </w:t>
      </w:r>
    </w:p>
    <w:p>
      <w:pPr>
        <w:spacing w:line="480" w:lineRule="exact"/>
        <w:jc w:val="center"/>
        <w:rPr>
          <w:rFonts w:asci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 xml:space="preserve">                        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厦门国家会计学院教务处</w:t>
      </w:r>
    </w:p>
    <w:p>
      <w:pPr>
        <w:spacing w:line="480" w:lineRule="exact"/>
        <w:ind w:firstLine="6015" w:firstLineChars="2140"/>
        <w:rPr>
          <w:rFonts w:ascii="宋体" w:cs="宋体"/>
          <w:b/>
          <w:color w:val="000000"/>
          <w:sz w:val="28"/>
          <w:szCs w:val="28"/>
        </w:rPr>
      </w:pPr>
      <w:r>
        <w:rPr>
          <w:rFonts w:ascii="宋体" w:hAnsi="宋体" w:cs="宋体"/>
          <w:b/>
          <w:color w:val="000000"/>
          <w:sz w:val="28"/>
          <w:szCs w:val="28"/>
        </w:rPr>
        <w:t>201</w:t>
      </w:r>
      <w:r>
        <w:rPr>
          <w:rFonts w:hint="eastAsia" w:ascii="宋体" w:hAnsi="宋体" w:cs="宋体"/>
          <w:b/>
          <w:color w:val="000000"/>
          <w:sz w:val="28"/>
          <w:szCs w:val="28"/>
        </w:rPr>
        <w:t>7年9月</w:t>
      </w:r>
    </w:p>
    <w:p>
      <w:pPr>
        <w:spacing w:line="440" w:lineRule="exact"/>
        <w:jc w:val="center"/>
        <w:rPr>
          <w:rFonts w:ascii="宋体" w:hAnsi="宋体" w:cs="宋体"/>
          <w:b/>
          <w:color w:val="000000"/>
          <w:sz w:val="32"/>
          <w:szCs w:val="32"/>
        </w:rPr>
      </w:pPr>
    </w:p>
    <w:p>
      <w:pPr>
        <w:spacing w:line="440" w:lineRule="exact"/>
        <w:rPr>
          <w:rFonts w:ascii="宋体" w:hAnsi="宋体" w:cs="宋体"/>
          <w:b/>
          <w:color w:val="000000"/>
          <w:sz w:val="32"/>
          <w:szCs w:val="32"/>
        </w:rPr>
      </w:pPr>
    </w:p>
    <w:p>
      <w:pPr>
        <w:spacing w:line="440" w:lineRule="exact"/>
        <w:jc w:val="center"/>
        <w:rPr>
          <w:rFonts w:asci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报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名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回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执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表（可自制）</w:t>
      </w:r>
    </w:p>
    <w:tbl>
      <w:tblPr>
        <w:tblStyle w:val="8"/>
        <w:tblW w:w="9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456"/>
        <w:gridCol w:w="879"/>
        <w:gridCol w:w="1117"/>
        <w:gridCol w:w="1338"/>
        <w:gridCol w:w="1558"/>
        <w:gridCol w:w="1846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3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学员姓名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务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话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传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手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机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电子信箱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130" w:hRule="atLeast"/>
          <w:jc w:val="center"/>
        </w:trPr>
        <w:tc>
          <w:tcPr>
            <w:tcW w:w="97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报名程序：</w:t>
            </w:r>
          </w:p>
          <w:p>
            <w:pPr>
              <w:spacing w:line="46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请将报名回执表填写完整后发送至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3393096236@qq.com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联系人：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赵诗雅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手机：18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182715547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微信咨询：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z18182715547</w:t>
            </w:r>
            <w:bookmarkStart w:id="0" w:name="_GoBack"/>
            <w:bookmarkEnd w:id="0"/>
          </w:p>
          <w:p>
            <w:pPr>
              <w:spacing w:line="320" w:lineRule="exact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备注：学院谢绝学员携带家属和小孩，谢谢！</w:t>
            </w:r>
          </w:p>
        </w:tc>
      </w:tr>
    </w:tbl>
    <w:p>
      <w:pPr>
        <w:spacing w:line="460" w:lineRule="exact"/>
        <w:rPr>
          <w:rFonts w:ascii="宋体" w:hAnsi="宋体" w:cs="宋体"/>
          <w:b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A4551"/>
    <w:multiLevelType w:val="multilevel"/>
    <w:tmpl w:val="39BA4551"/>
    <w:lvl w:ilvl="0" w:tentative="0">
      <w:start w:val="1"/>
      <w:numFmt w:val="decimal"/>
      <w:lvlText w:val="%1)"/>
      <w:lvlJc w:val="left"/>
      <w:pPr>
        <w:ind w:left="1260" w:hanging="420"/>
      </w:p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3ECB2D4F"/>
    <w:multiLevelType w:val="multilevel"/>
    <w:tmpl w:val="3ECB2D4F"/>
    <w:lvl w:ilvl="0" w:tentative="0">
      <w:start w:val="1"/>
      <w:numFmt w:val="decimal"/>
      <w:lvlText w:val="%1)"/>
      <w:lvlJc w:val="left"/>
      <w:pPr>
        <w:ind w:left="1261" w:hanging="420"/>
      </w:pPr>
    </w:lvl>
    <w:lvl w:ilvl="1" w:tentative="0">
      <w:start w:val="1"/>
      <w:numFmt w:val="lowerLetter"/>
      <w:lvlText w:val="%2)"/>
      <w:lvlJc w:val="left"/>
      <w:pPr>
        <w:ind w:left="1681" w:hanging="420"/>
      </w:pPr>
    </w:lvl>
    <w:lvl w:ilvl="2" w:tentative="0">
      <w:start w:val="1"/>
      <w:numFmt w:val="lowerRoman"/>
      <w:lvlText w:val="%3."/>
      <w:lvlJc w:val="right"/>
      <w:pPr>
        <w:ind w:left="2101" w:hanging="420"/>
      </w:pPr>
    </w:lvl>
    <w:lvl w:ilvl="3" w:tentative="0">
      <w:start w:val="1"/>
      <w:numFmt w:val="decimal"/>
      <w:lvlText w:val="%4."/>
      <w:lvlJc w:val="left"/>
      <w:pPr>
        <w:ind w:left="2521" w:hanging="420"/>
      </w:pPr>
    </w:lvl>
    <w:lvl w:ilvl="4" w:tentative="0">
      <w:start w:val="1"/>
      <w:numFmt w:val="lowerLetter"/>
      <w:lvlText w:val="%5)"/>
      <w:lvlJc w:val="left"/>
      <w:pPr>
        <w:ind w:left="2941" w:hanging="420"/>
      </w:pPr>
    </w:lvl>
    <w:lvl w:ilvl="5" w:tentative="0">
      <w:start w:val="1"/>
      <w:numFmt w:val="lowerRoman"/>
      <w:lvlText w:val="%6."/>
      <w:lvlJc w:val="right"/>
      <w:pPr>
        <w:ind w:left="3361" w:hanging="420"/>
      </w:pPr>
    </w:lvl>
    <w:lvl w:ilvl="6" w:tentative="0">
      <w:start w:val="1"/>
      <w:numFmt w:val="decimal"/>
      <w:lvlText w:val="%7."/>
      <w:lvlJc w:val="left"/>
      <w:pPr>
        <w:ind w:left="3781" w:hanging="420"/>
      </w:pPr>
    </w:lvl>
    <w:lvl w:ilvl="7" w:tentative="0">
      <w:start w:val="1"/>
      <w:numFmt w:val="lowerLetter"/>
      <w:lvlText w:val="%8)"/>
      <w:lvlJc w:val="left"/>
      <w:pPr>
        <w:ind w:left="4201" w:hanging="420"/>
      </w:pPr>
    </w:lvl>
    <w:lvl w:ilvl="8" w:tentative="0">
      <w:start w:val="1"/>
      <w:numFmt w:val="lowerRoman"/>
      <w:lvlText w:val="%9."/>
      <w:lvlJc w:val="right"/>
      <w:pPr>
        <w:ind w:left="462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2F"/>
    <w:rsid w:val="000314E7"/>
    <w:rsid w:val="000524AE"/>
    <w:rsid w:val="00063690"/>
    <w:rsid w:val="00074621"/>
    <w:rsid w:val="00091687"/>
    <w:rsid w:val="00097782"/>
    <w:rsid w:val="000B104E"/>
    <w:rsid w:val="000C4ADA"/>
    <w:rsid w:val="000C5079"/>
    <w:rsid w:val="000C6A7C"/>
    <w:rsid w:val="000E5E83"/>
    <w:rsid w:val="00143D9E"/>
    <w:rsid w:val="00164DAD"/>
    <w:rsid w:val="001669EE"/>
    <w:rsid w:val="001B58BE"/>
    <w:rsid w:val="001D3266"/>
    <w:rsid w:val="001E7DAF"/>
    <w:rsid w:val="001F4F1D"/>
    <w:rsid w:val="001F7EDC"/>
    <w:rsid w:val="002227EA"/>
    <w:rsid w:val="00246611"/>
    <w:rsid w:val="002638C2"/>
    <w:rsid w:val="0027049A"/>
    <w:rsid w:val="002A0E4C"/>
    <w:rsid w:val="002C56C3"/>
    <w:rsid w:val="002C5C22"/>
    <w:rsid w:val="002D195D"/>
    <w:rsid w:val="00313C3A"/>
    <w:rsid w:val="00327EE3"/>
    <w:rsid w:val="00331126"/>
    <w:rsid w:val="00347361"/>
    <w:rsid w:val="00352989"/>
    <w:rsid w:val="00364E40"/>
    <w:rsid w:val="003805E0"/>
    <w:rsid w:val="00383991"/>
    <w:rsid w:val="003A5823"/>
    <w:rsid w:val="00402863"/>
    <w:rsid w:val="00416FE8"/>
    <w:rsid w:val="004A62C6"/>
    <w:rsid w:val="004B4E44"/>
    <w:rsid w:val="004D57F0"/>
    <w:rsid w:val="004E3EA8"/>
    <w:rsid w:val="00505911"/>
    <w:rsid w:val="00525F5C"/>
    <w:rsid w:val="00534F35"/>
    <w:rsid w:val="00552E63"/>
    <w:rsid w:val="00560963"/>
    <w:rsid w:val="00560C45"/>
    <w:rsid w:val="00591C35"/>
    <w:rsid w:val="005B0E12"/>
    <w:rsid w:val="005C448D"/>
    <w:rsid w:val="005D5A81"/>
    <w:rsid w:val="0060783A"/>
    <w:rsid w:val="006330BA"/>
    <w:rsid w:val="00651E8E"/>
    <w:rsid w:val="00653C81"/>
    <w:rsid w:val="00676581"/>
    <w:rsid w:val="00681FD6"/>
    <w:rsid w:val="006B4751"/>
    <w:rsid w:val="006F1438"/>
    <w:rsid w:val="006F437C"/>
    <w:rsid w:val="00700DF6"/>
    <w:rsid w:val="00714F3A"/>
    <w:rsid w:val="00715014"/>
    <w:rsid w:val="00716FCD"/>
    <w:rsid w:val="00735445"/>
    <w:rsid w:val="00776682"/>
    <w:rsid w:val="007A3285"/>
    <w:rsid w:val="007D7EF6"/>
    <w:rsid w:val="007F7BAF"/>
    <w:rsid w:val="0080595C"/>
    <w:rsid w:val="00807F4C"/>
    <w:rsid w:val="00813E81"/>
    <w:rsid w:val="00843D2F"/>
    <w:rsid w:val="008508AC"/>
    <w:rsid w:val="008547B2"/>
    <w:rsid w:val="00877071"/>
    <w:rsid w:val="00883E23"/>
    <w:rsid w:val="00885952"/>
    <w:rsid w:val="008C0FAD"/>
    <w:rsid w:val="009276B5"/>
    <w:rsid w:val="00940C30"/>
    <w:rsid w:val="009463EF"/>
    <w:rsid w:val="00970093"/>
    <w:rsid w:val="009A27BC"/>
    <w:rsid w:val="009B30BE"/>
    <w:rsid w:val="009B6283"/>
    <w:rsid w:val="009D6106"/>
    <w:rsid w:val="00A14205"/>
    <w:rsid w:val="00A15388"/>
    <w:rsid w:val="00A168D0"/>
    <w:rsid w:val="00A343DD"/>
    <w:rsid w:val="00A4463C"/>
    <w:rsid w:val="00A57BA5"/>
    <w:rsid w:val="00A9658F"/>
    <w:rsid w:val="00A97885"/>
    <w:rsid w:val="00AB664C"/>
    <w:rsid w:val="00AC48B2"/>
    <w:rsid w:val="00AF7824"/>
    <w:rsid w:val="00B14BB4"/>
    <w:rsid w:val="00B54C30"/>
    <w:rsid w:val="00B719C4"/>
    <w:rsid w:val="00B87FA8"/>
    <w:rsid w:val="00BA1EBF"/>
    <w:rsid w:val="00BD009E"/>
    <w:rsid w:val="00BD7C39"/>
    <w:rsid w:val="00C078F8"/>
    <w:rsid w:val="00C109B3"/>
    <w:rsid w:val="00C13793"/>
    <w:rsid w:val="00C32352"/>
    <w:rsid w:val="00C34460"/>
    <w:rsid w:val="00C643B5"/>
    <w:rsid w:val="00C7536E"/>
    <w:rsid w:val="00C917BC"/>
    <w:rsid w:val="00CD1B61"/>
    <w:rsid w:val="00D03C22"/>
    <w:rsid w:val="00D1738B"/>
    <w:rsid w:val="00D63A23"/>
    <w:rsid w:val="00D6412C"/>
    <w:rsid w:val="00D77A1F"/>
    <w:rsid w:val="00D940A3"/>
    <w:rsid w:val="00DC7E69"/>
    <w:rsid w:val="00DD595D"/>
    <w:rsid w:val="00DE7BAD"/>
    <w:rsid w:val="00DE7EF3"/>
    <w:rsid w:val="00DF4AB1"/>
    <w:rsid w:val="00E359F4"/>
    <w:rsid w:val="00E518DB"/>
    <w:rsid w:val="00E63393"/>
    <w:rsid w:val="00EC1007"/>
    <w:rsid w:val="00EE3B7E"/>
    <w:rsid w:val="00EF384F"/>
    <w:rsid w:val="00EF407F"/>
    <w:rsid w:val="00F178E8"/>
    <w:rsid w:val="00FD25C5"/>
    <w:rsid w:val="00FD46C9"/>
    <w:rsid w:val="00FF25AC"/>
    <w:rsid w:val="303E334D"/>
    <w:rsid w:val="6EDF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13"/>
    <w:qFormat/>
    <w:locked/>
    <w:uiPriority w:val="9"/>
    <w:pPr>
      <w:keepNext/>
      <w:widowControl/>
      <w:spacing w:before="240" w:after="240"/>
      <w:jc w:val="left"/>
      <w:outlineLvl w:val="2"/>
    </w:pPr>
    <w:rPr>
      <w:rFonts w:ascii="宋体" w:hAnsi="宋体" w:cs="宋体"/>
      <w:b/>
      <w:bCs/>
      <w:kern w:val="0"/>
      <w:sz w:val="28"/>
      <w:szCs w:val="28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locked/>
    <w:uiPriority w:val="22"/>
    <w:rPr>
      <w:b/>
      <w:bCs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padding2em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4"/>
    </w:rPr>
  </w:style>
  <w:style w:type="character" w:customStyle="1" w:styleId="13">
    <w:name w:val="标题 3 Char"/>
    <w:basedOn w:val="6"/>
    <w:link w:val="2"/>
    <w:qFormat/>
    <w:uiPriority w:val="9"/>
    <w:rPr>
      <w:rFonts w:ascii="宋体" w:hAnsi="宋体" w:cs="宋体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239</Words>
  <Characters>1364</Characters>
  <Lines>11</Lines>
  <Paragraphs>3</Paragraphs>
  <ScaleCrop>false</ScaleCrop>
  <LinksUpToDate>false</LinksUpToDate>
  <CharactersWithSpaces>1600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2017-09-07T00:33:00Z</dcterms:created>
  <dc:creator>Administrator</dc:creator>
  <cp:lastModifiedBy>Administrator</cp:lastModifiedBy>
  <dcterms:modified xsi:type="dcterms:W3CDTF">2017-09-20T01:04:06Z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